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802" w:rsidRPr="003353F9" w:rsidRDefault="00560802" w:rsidP="00543E81">
      <w:pPr>
        <w:rPr>
          <w:sz w:val="28"/>
          <w:szCs w:val="28"/>
          <w:lang w:bidi="ar-SY"/>
        </w:rPr>
      </w:pPr>
    </w:p>
    <w:p w:rsidR="00B12E1B" w:rsidRPr="00C3571F" w:rsidRDefault="00560802" w:rsidP="00FF497F">
      <w:pPr>
        <w:pStyle w:val="Title"/>
        <w:pBdr>
          <w:bottom w:val="single" w:sz="4" w:space="1" w:color="002060"/>
        </w:pBdr>
        <w:rPr>
          <w:lang w:val="fr-FR" w:bidi="ar-SY"/>
        </w:rPr>
      </w:pPr>
      <w:r w:rsidRPr="00C3571F">
        <w:rPr>
          <w:lang w:val="fr-FR" w:bidi="ar-SY"/>
        </w:rPr>
        <w:t>Demande d’informations</w:t>
      </w:r>
    </w:p>
    <w:p w:rsidR="00560802" w:rsidRDefault="00560802" w:rsidP="00241487">
      <w:pPr>
        <w:rPr>
          <w:sz w:val="28"/>
          <w:szCs w:val="28"/>
          <w:lang w:val="fr-FR" w:bidi="ar-SY"/>
        </w:rPr>
      </w:pPr>
    </w:p>
    <w:p w:rsidR="00560802" w:rsidRPr="00FF497F" w:rsidRDefault="00560802" w:rsidP="00FF497F">
      <w:pPr>
        <w:pStyle w:val="Heading1"/>
        <w:spacing w:before="0" w:line="360" w:lineRule="auto"/>
        <w:rPr>
          <w:b/>
          <w:lang w:val="fr-FR" w:bidi="ar-SY"/>
        </w:rPr>
      </w:pPr>
      <w:r w:rsidRPr="00FF497F">
        <w:rPr>
          <w:b/>
          <w:lang w:val="fr-FR" w:bidi="ar-SY"/>
        </w:rPr>
        <w:t xml:space="preserve">Ce bref sondage vise à recueillir des informations sur les ressources financières allouées aux activités nationales relatives à la conservation et à l’utilisation durable des ressources </w:t>
      </w:r>
      <w:proofErr w:type="spellStart"/>
      <w:r w:rsidRPr="00FF497F">
        <w:rPr>
          <w:b/>
          <w:lang w:val="fr-FR" w:bidi="ar-SY"/>
        </w:rPr>
        <w:t>phytogénétiques</w:t>
      </w:r>
      <w:proofErr w:type="spellEnd"/>
      <w:r w:rsidRPr="00FF497F">
        <w:rPr>
          <w:b/>
          <w:lang w:val="fr-FR" w:bidi="ar-SY"/>
        </w:rPr>
        <w:t xml:space="preserve"> pour l’alimentation et </w:t>
      </w:r>
      <w:proofErr w:type="gramStart"/>
      <w:r w:rsidRPr="00FF497F">
        <w:rPr>
          <w:b/>
          <w:lang w:val="fr-FR" w:bidi="ar-SY"/>
        </w:rPr>
        <w:t>l’agriculture</w:t>
      </w:r>
      <w:r w:rsidR="00C3571F" w:rsidRPr="00FF497F">
        <w:rPr>
          <w:rFonts w:hint="cs"/>
          <w:b/>
          <w:rtl/>
          <w:lang w:val="fr-FR" w:bidi="ar-SY"/>
        </w:rPr>
        <w:t xml:space="preserve"> </w:t>
      </w:r>
      <w:r w:rsidR="00C3571F" w:rsidRPr="00FF497F">
        <w:rPr>
          <w:b/>
          <w:lang w:val="fr-FR" w:bidi="ar-SY"/>
        </w:rPr>
        <w:t xml:space="preserve"> (</w:t>
      </w:r>
      <w:proofErr w:type="gramEnd"/>
      <w:r w:rsidR="00C3571F" w:rsidRPr="00FF497F">
        <w:rPr>
          <w:b/>
          <w:lang w:val="fr-FR" w:bidi="ar-SY"/>
        </w:rPr>
        <w:t>RPGAA)</w:t>
      </w:r>
      <w:r w:rsidRPr="00FF497F">
        <w:rPr>
          <w:b/>
          <w:lang w:val="fr-FR" w:bidi="ar-SY"/>
        </w:rPr>
        <w:t xml:space="preserve">, et à d’autres domaines relevant du Traité international sur les ressources </w:t>
      </w:r>
      <w:proofErr w:type="spellStart"/>
      <w:r w:rsidRPr="00FF497F">
        <w:rPr>
          <w:b/>
          <w:lang w:val="fr-FR" w:bidi="ar-SY"/>
        </w:rPr>
        <w:t>phytogénétiques</w:t>
      </w:r>
      <w:proofErr w:type="spellEnd"/>
      <w:r w:rsidRPr="00FF497F">
        <w:rPr>
          <w:b/>
          <w:lang w:val="fr-FR" w:bidi="ar-SY"/>
        </w:rPr>
        <w:t xml:space="preserve"> pour l’alimentation et l’agriculture.</w:t>
      </w:r>
    </w:p>
    <w:p w:rsidR="00560802" w:rsidRDefault="00560802" w:rsidP="00241487">
      <w:pPr>
        <w:rPr>
          <w:sz w:val="24"/>
          <w:szCs w:val="24"/>
          <w:lang w:val="fr-FR" w:bidi="ar-SY"/>
        </w:rPr>
      </w:pPr>
    </w:p>
    <w:p w:rsidR="00560802" w:rsidRPr="00963FBB" w:rsidRDefault="00560802" w:rsidP="00963FBB">
      <w:pPr>
        <w:pStyle w:val="ListParagraph"/>
        <w:numPr>
          <w:ilvl w:val="0"/>
          <w:numId w:val="21"/>
        </w:numPr>
        <w:ind w:left="360"/>
        <w:rPr>
          <w:rFonts w:ascii="Cambria" w:hAnsi="Cambria"/>
          <w:b/>
          <w:color w:val="2E74B5" w:themeColor="accent1" w:themeShade="BF"/>
          <w:sz w:val="26"/>
          <w:szCs w:val="26"/>
          <w:lang w:val="fr-FR" w:bidi="ar-SY"/>
        </w:rPr>
      </w:pPr>
      <w:r w:rsidRPr="00963FBB">
        <w:rPr>
          <w:rFonts w:ascii="Cambria" w:hAnsi="Cambria"/>
          <w:b/>
          <w:color w:val="2E74B5" w:themeColor="accent1" w:themeShade="BF"/>
          <w:sz w:val="26"/>
          <w:szCs w:val="26"/>
          <w:lang w:val="fr-FR" w:bidi="ar-SY"/>
        </w:rPr>
        <w:t>Ressources financières et programmes nationaux</w:t>
      </w:r>
    </w:p>
    <w:p w:rsidR="00C31516" w:rsidRDefault="00C31516" w:rsidP="00241487">
      <w:pPr>
        <w:pStyle w:val="ListParagraph"/>
        <w:ind w:left="0"/>
        <w:rPr>
          <w:sz w:val="24"/>
          <w:szCs w:val="24"/>
          <w:lang w:val="fr-FR" w:bidi="ar-SY"/>
        </w:rPr>
      </w:pPr>
    </w:p>
    <w:p w:rsidR="00560802" w:rsidRPr="00963FBB" w:rsidRDefault="00A37491" w:rsidP="00963FBB">
      <w:pPr>
        <w:pStyle w:val="ListParagraph"/>
        <w:numPr>
          <w:ilvl w:val="1"/>
          <w:numId w:val="19"/>
        </w:numPr>
        <w:ind w:left="0" w:firstLine="0"/>
        <w:rPr>
          <w:lang w:val="fr-FR" w:bidi="ar-SY"/>
        </w:rPr>
      </w:pPr>
      <w:r w:rsidRPr="00963FBB">
        <w:rPr>
          <w:lang w:val="fr-FR" w:bidi="ar-SY"/>
        </w:rPr>
        <w:t xml:space="preserve">De nombreux pays ont des programmes nationaux </w:t>
      </w:r>
      <w:r w:rsidR="00C31516" w:rsidRPr="00963FBB">
        <w:rPr>
          <w:lang w:val="fr-FR" w:bidi="ar-SY"/>
        </w:rPr>
        <w:t xml:space="preserve">sur les RPGAA avec un budget ordinaire alloué. Votre gouvernement </w:t>
      </w:r>
      <w:proofErr w:type="spellStart"/>
      <w:r w:rsidR="00C31516" w:rsidRPr="00963FBB">
        <w:rPr>
          <w:lang w:val="fr-FR" w:bidi="ar-SY"/>
        </w:rPr>
        <w:t>a-t-il</w:t>
      </w:r>
      <w:proofErr w:type="spellEnd"/>
      <w:r w:rsidR="00C31516" w:rsidRPr="00963FBB">
        <w:rPr>
          <w:lang w:val="fr-FR" w:bidi="ar-SY"/>
        </w:rPr>
        <w:t xml:space="preserve"> alloué un budget ordinaire au programme national sur les RPGAA au cours des cinq dernières années (janvier 2013 jusqu’à présent) ?</w:t>
      </w:r>
    </w:p>
    <w:p w:rsidR="00C31516" w:rsidRDefault="00C31516" w:rsidP="00241487">
      <w:pPr>
        <w:rPr>
          <w:sz w:val="24"/>
          <w:szCs w:val="24"/>
          <w:lang w:val="fr-FR" w:bidi="ar-S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5"/>
        <w:gridCol w:w="425"/>
      </w:tblGrid>
      <w:tr w:rsidR="00C31516" w:rsidRPr="0057232B" w:rsidTr="001176DA">
        <w:tc>
          <w:tcPr>
            <w:tcW w:w="534" w:type="dxa"/>
          </w:tcPr>
          <w:p w:rsidR="00C31516" w:rsidRPr="0057232B" w:rsidRDefault="00C31516" w:rsidP="00241487">
            <w:r>
              <w:t>OUI</w:t>
            </w:r>
          </w:p>
        </w:tc>
        <w:tc>
          <w:tcPr>
            <w:tcW w:w="425" w:type="dxa"/>
          </w:tcPr>
          <w:p w:rsidR="00C31516" w:rsidRPr="0057232B" w:rsidRDefault="00C31516" w:rsidP="00241487"/>
        </w:tc>
      </w:tr>
      <w:tr w:rsidR="00C31516" w:rsidRPr="0057232B" w:rsidTr="001176DA">
        <w:tc>
          <w:tcPr>
            <w:tcW w:w="534" w:type="dxa"/>
          </w:tcPr>
          <w:p w:rsidR="00C31516" w:rsidRPr="0057232B" w:rsidRDefault="00C31516" w:rsidP="00241487">
            <w:r w:rsidRPr="0057232B">
              <w:t>NO</w:t>
            </w:r>
            <w:r>
              <w:t>N</w:t>
            </w:r>
          </w:p>
        </w:tc>
        <w:tc>
          <w:tcPr>
            <w:tcW w:w="425" w:type="dxa"/>
          </w:tcPr>
          <w:p w:rsidR="00C31516" w:rsidRPr="0057232B" w:rsidRDefault="00C31516" w:rsidP="00241487"/>
        </w:tc>
      </w:tr>
    </w:tbl>
    <w:p w:rsidR="00C31516" w:rsidRDefault="00C31516" w:rsidP="00241487">
      <w:pPr>
        <w:rPr>
          <w:sz w:val="24"/>
          <w:szCs w:val="24"/>
          <w:lang w:val="fr-FR" w:bidi="ar-S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31516" w:rsidTr="001176DA">
        <w:trPr>
          <w:trHeight w:val="1387"/>
        </w:trPr>
        <w:tc>
          <w:tcPr>
            <w:tcW w:w="9736" w:type="dxa"/>
          </w:tcPr>
          <w:p w:rsidR="00C31516" w:rsidRPr="00C31516" w:rsidRDefault="00C31516" w:rsidP="00241487">
            <w:pPr>
              <w:rPr>
                <w:lang w:val="fr-FR"/>
              </w:rPr>
            </w:pPr>
            <w:r w:rsidRPr="00C31516">
              <w:rPr>
                <w:lang w:val="fr-FR"/>
              </w:rPr>
              <w:t xml:space="preserve">Autres commentaires: </w:t>
            </w:r>
          </w:p>
        </w:tc>
      </w:tr>
    </w:tbl>
    <w:p w:rsidR="00C31516" w:rsidRDefault="00C31516" w:rsidP="00241487"/>
    <w:p w:rsidR="00C31516" w:rsidRDefault="00C31516" w:rsidP="00241487">
      <w:pPr>
        <w:rPr>
          <w:sz w:val="24"/>
          <w:szCs w:val="24"/>
          <w:lang w:val="fr-FR" w:bidi="ar-SY"/>
        </w:rPr>
      </w:pPr>
      <w:r>
        <w:rPr>
          <w:sz w:val="24"/>
          <w:szCs w:val="24"/>
          <w:lang w:val="fr-FR" w:bidi="ar-SY"/>
        </w:rPr>
        <w:t xml:space="preserve">1.2. </w:t>
      </w:r>
      <w:r w:rsidR="00241487">
        <w:rPr>
          <w:sz w:val="24"/>
          <w:szCs w:val="24"/>
          <w:lang w:val="fr-FR" w:bidi="ar-SY"/>
        </w:rPr>
        <w:tab/>
      </w:r>
      <w:r w:rsidR="007911C2" w:rsidRPr="007911C2">
        <w:rPr>
          <w:sz w:val="24"/>
          <w:szCs w:val="24"/>
          <w:lang w:val="fr-FR" w:bidi="ar-SY"/>
        </w:rPr>
        <w:t xml:space="preserve">Pourriez-vous </w:t>
      </w:r>
      <w:r w:rsidR="007911C2">
        <w:rPr>
          <w:sz w:val="24"/>
          <w:szCs w:val="24"/>
          <w:lang w:val="fr-FR" w:bidi="ar-SY"/>
        </w:rPr>
        <w:t>donner</w:t>
      </w:r>
      <w:r w:rsidR="007911C2" w:rsidRPr="007911C2">
        <w:rPr>
          <w:sz w:val="24"/>
          <w:szCs w:val="24"/>
          <w:lang w:val="fr-FR" w:bidi="ar-SY"/>
        </w:rPr>
        <w:t xml:space="preserve"> une estimation </w:t>
      </w:r>
      <w:r w:rsidR="00C3571F">
        <w:rPr>
          <w:sz w:val="24"/>
          <w:szCs w:val="24"/>
          <w:lang w:val="fr-FR" w:bidi="ar-SY"/>
        </w:rPr>
        <w:t>provisoire</w:t>
      </w:r>
      <w:r w:rsidR="007911C2" w:rsidRPr="007911C2">
        <w:rPr>
          <w:sz w:val="24"/>
          <w:szCs w:val="24"/>
          <w:lang w:val="fr-FR" w:bidi="ar-SY"/>
        </w:rPr>
        <w:t xml:space="preserve"> du montant total dépensé annuellement pour votre programme national sur les RPGAA ou un programme similaire (en millions de dollars</w:t>
      </w:r>
      <w:r w:rsidR="00EE3A85">
        <w:rPr>
          <w:sz w:val="24"/>
          <w:szCs w:val="24"/>
          <w:lang w:val="fr-FR" w:bidi="ar-SY"/>
        </w:rPr>
        <w:t xml:space="preserve"> américains</w:t>
      </w:r>
      <w:r w:rsidR="007911C2" w:rsidRPr="007911C2">
        <w:rPr>
          <w:sz w:val="24"/>
          <w:szCs w:val="24"/>
          <w:lang w:val="fr-FR" w:bidi="ar-SY"/>
        </w:rPr>
        <w:t>), que celui-ci provienne d'un budget ordinaire ou d'un autre fonds?</w:t>
      </w:r>
    </w:p>
    <w:p w:rsidR="009F5B9C" w:rsidRPr="00DE1AF9" w:rsidRDefault="009F5B9C" w:rsidP="00241487">
      <w:pPr>
        <w:rPr>
          <w:lang w:val="fr-FR"/>
        </w:rPr>
      </w:pPr>
    </w:p>
    <w:p w:rsidR="009F5B9C" w:rsidRPr="00DE1AF9" w:rsidRDefault="009F5B9C" w:rsidP="00241487">
      <w:pPr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5"/>
      </w:tblGrid>
      <w:tr w:rsidR="009F5B9C" w:rsidRPr="00241487" w:rsidTr="007B4A6A">
        <w:tc>
          <w:tcPr>
            <w:tcW w:w="9715" w:type="dxa"/>
          </w:tcPr>
          <w:p w:rsidR="009F5B9C" w:rsidRPr="00DE1AF9" w:rsidRDefault="009F5B9C" w:rsidP="00241487">
            <w:pPr>
              <w:rPr>
                <w:lang w:val="fr-FR"/>
              </w:rPr>
            </w:pPr>
          </w:p>
          <w:p w:rsidR="009F5B9C" w:rsidRPr="00DE1AF9" w:rsidRDefault="009F5B9C" w:rsidP="00241487">
            <w:pPr>
              <w:rPr>
                <w:lang w:val="fr-FR"/>
              </w:rPr>
            </w:pPr>
          </w:p>
          <w:p w:rsidR="009F5B9C" w:rsidRPr="00DE1AF9" w:rsidRDefault="009F5B9C" w:rsidP="00241487">
            <w:pPr>
              <w:rPr>
                <w:lang w:val="fr-FR"/>
              </w:rPr>
            </w:pPr>
          </w:p>
        </w:tc>
      </w:tr>
    </w:tbl>
    <w:p w:rsidR="009F5B9C" w:rsidRPr="00DE1AF9" w:rsidRDefault="009F5B9C" w:rsidP="00241487">
      <w:pPr>
        <w:rPr>
          <w:lang w:val="fr-FR"/>
        </w:rPr>
      </w:pPr>
    </w:p>
    <w:p w:rsidR="009F5B9C" w:rsidRPr="00DE1AF9" w:rsidRDefault="009F5B9C" w:rsidP="00241487">
      <w:pPr>
        <w:rPr>
          <w:lang w:val="fr-FR"/>
        </w:rPr>
      </w:pPr>
    </w:p>
    <w:p w:rsidR="009F5B9C" w:rsidRDefault="00B16EAD" w:rsidP="00241487">
      <w:pPr>
        <w:rPr>
          <w:sz w:val="24"/>
          <w:szCs w:val="24"/>
          <w:lang w:val="fr-FR"/>
        </w:rPr>
      </w:pPr>
      <w:r w:rsidRPr="0016235F">
        <w:rPr>
          <w:sz w:val="24"/>
          <w:szCs w:val="24"/>
          <w:lang w:val="fr-FR"/>
        </w:rPr>
        <w:t xml:space="preserve">1.3. </w:t>
      </w:r>
      <w:r w:rsidR="00241487">
        <w:rPr>
          <w:sz w:val="24"/>
          <w:szCs w:val="24"/>
          <w:lang w:val="fr-FR"/>
        </w:rPr>
        <w:tab/>
      </w:r>
      <w:r w:rsidRPr="0016235F">
        <w:rPr>
          <w:sz w:val="24"/>
          <w:szCs w:val="24"/>
          <w:lang w:val="fr-FR"/>
        </w:rPr>
        <w:t>Quelle part de cette dépense, selon vous, est basée sur les ressources</w:t>
      </w:r>
      <w:r w:rsidR="000C254D">
        <w:rPr>
          <w:sz w:val="24"/>
          <w:szCs w:val="24"/>
          <w:lang w:val="fr-FR"/>
        </w:rPr>
        <w:t xml:space="preserve"> </w:t>
      </w:r>
      <w:r w:rsidRPr="0016235F">
        <w:rPr>
          <w:sz w:val="24"/>
          <w:szCs w:val="24"/>
          <w:lang w:val="fr-FR"/>
        </w:rPr>
        <w:t>gouvernement</w:t>
      </w:r>
      <w:r w:rsidR="00522BA9">
        <w:rPr>
          <w:sz w:val="24"/>
          <w:szCs w:val="24"/>
          <w:lang w:val="fr-FR"/>
        </w:rPr>
        <w:t>ales</w:t>
      </w:r>
      <w:r w:rsidR="000C254D">
        <w:rPr>
          <w:sz w:val="24"/>
          <w:szCs w:val="24"/>
          <w:lang w:val="fr-FR"/>
        </w:rPr>
        <w:t xml:space="preserve"> national</w:t>
      </w:r>
      <w:r w:rsidR="00522BA9">
        <w:rPr>
          <w:sz w:val="24"/>
          <w:szCs w:val="24"/>
          <w:lang w:val="fr-FR"/>
        </w:rPr>
        <w:t>es</w:t>
      </w:r>
      <w:r w:rsidR="000C254D">
        <w:rPr>
          <w:sz w:val="24"/>
          <w:szCs w:val="24"/>
          <w:lang w:val="fr-FR"/>
        </w:rPr>
        <w:t xml:space="preserve">, </w:t>
      </w:r>
      <w:r w:rsidRPr="0016235F">
        <w:rPr>
          <w:sz w:val="24"/>
          <w:szCs w:val="24"/>
          <w:lang w:val="fr-FR"/>
        </w:rPr>
        <w:t xml:space="preserve">par </w:t>
      </w:r>
      <w:r w:rsidR="00522BA9">
        <w:rPr>
          <w:sz w:val="24"/>
          <w:szCs w:val="24"/>
          <w:lang w:val="fr-FR"/>
        </w:rPr>
        <w:t xml:space="preserve">rapport </w:t>
      </w:r>
      <w:r w:rsidRPr="0016235F">
        <w:rPr>
          <w:sz w:val="24"/>
          <w:szCs w:val="24"/>
          <w:lang w:val="fr-FR"/>
        </w:rPr>
        <w:t xml:space="preserve">aux financements externes </w:t>
      </w:r>
      <w:r w:rsidR="0016235F" w:rsidRPr="0016235F">
        <w:rPr>
          <w:sz w:val="24"/>
          <w:szCs w:val="24"/>
          <w:lang w:val="fr-FR"/>
        </w:rPr>
        <w:t>(</w:t>
      </w:r>
      <w:r w:rsidRPr="0016235F">
        <w:rPr>
          <w:sz w:val="24"/>
          <w:szCs w:val="24"/>
          <w:lang w:val="fr-FR"/>
        </w:rPr>
        <w:t>financements internationaux, financements multilatéraux ou bilatéraux</w:t>
      </w:r>
      <w:r w:rsidR="00812E9D">
        <w:rPr>
          <w:sz w:val="24"/>
          <w:szCs w:val="24"/>
          <w:lang w:val="fr-FR"/>
        </w:rPr>
        <w:t>, support</w:t>
      </w:r>
      <w:r w:rsidR="000C254D">
        <w:rPr>
          <w:sz w:val="24"/>
          <w:szCs w:val="24"/>
          <w:lang w:val="fr-FR"/>
        </w:rPr>
        <w:t xml:space="preserve"> philanthropique ou autre)</w:t>
      </w:r>
    </w:p>
    <w:p w:rsidR="00963FBB" w:rsidRPr="0016235F" w:rsidRDefault="00963FBB" w:rsidP="00241487">
      <w:pPr>
        <w:rPr>
          <w:sz w:val="24"/>
          <w:szCs w:val="24"/>
          <w:lang w:val="fr-FR"/>
        </w:rPr>
      </w:pPr>
    </w:p>
    <w:p w:rsidR="009F5B9C" w:rsidRDefault="009F5B9C" w:rsidP="00241487">
      <w:pPr>
        <w:rPr>
          <w:sz w:val="24"/>
          <w:szCs w:val="24"/>
          <w:lang w:val="fr-FR" w:bidi="ar-SY"/>
        </w:rPr>
      </w:pPr>
    </w:p>
    <w:tbl>
      <w:tblPr>
        <w:tblStyle w:val="TableGrid"/>
        <w:tblW w:w="9736" w:type="dxa"/>
        <w:tblInd w:w="-5" w:type="dxa"/>
        <w:tblLook w:val="04A0" w:firstRow="1" w:lastRow="0" w:firstColumn="1" w:lastColumn="0" w:noHBand="0" w:noVBand="1"/>
      </w:tblPr>
      <w:tblGrid>
        <w:gridCol w:w="4874"/>
        <w:gridCol w:w="4862"/>
      </w:tblGrid>
      <w:tr w:rsidR="000C254D" w:rsidTr="001176DA">
        <w:tc>
          <w:tcPr>
            <w:tcW w:w="4874" w:type="dxa"/>
            <w:shd w:val="clear" w:color="auto" w:fill="8EAADB" w:themeFill="accent5" w:themeFillTint="99"/>
          </w:tcPr>
          <w:p w:rsidR="000C254D" w:rsidRPr="00246434" w:rsidRDefault="00246434" w:rsidP="00241487">
            <w:pPr>
              <w:rPr>
                <w:lang w:val="fr-FR"/>
              </w:rPr>
            </w:pPr>
            <w:r w:rsidRPr="00246434">
              <w:rPr>
                <w:lang w:val="fr-FR"/>
              </w:rPr>
              <w:lastRenderedPageBreak/>
              <w:t>Ressources gouvernementales nationales</w:t>
            </w:r>
          </w:p>
        </w:tc>
        <w:tc>
          <w:tcPr>
            <w:tcW w:w="4862" w:type="dxa"/>
            <w:shd w:val="clear" w:color="auto" w:fill="8EAADB" w:themeFill="accent5" w:themeFillTint="99"/>
          </w:tcPr>
          <w:p w:rsidR="000C254D" w:rsidRPr="00246434" w:rsidRDefault="00246434" w:rsidP="00241487">
            <w:pPr>
              <w:rPr>
                <w:lang w:val="fr-FR"/>
              </w:rPr>
            </w:pPr>
            <w:r w:rsidRPr="00246434">
              <w:rPr>
                <w:lang w:val="fr-FR"/>
              </w:rPr>
              <w:t>Financement externe</w:t>
            </w:r>
          </w:p>
        </w:tc>
      </w:tr>
      <w:tr w:rsidR="000C254D" w:rsidTr="001176DA">
        <w:tc>
          <w:tcPr>
            <w:tcW w:w="4874" w:type="dxa"/>
          </w:tcPr>
          <w:p w:rsidR="000C254D" w:rsidRDefault="000C254D" w:rsidP="00241487"/>
          <w:p w:rsidR="000C254D" w:rsidRDefault="000C254D" w:rsidP="00241487"/>
          <w:p w:rsidR="000C254D" w:rsidRDefault="000C254D" w:rsidP="00241487"/>
        </w:tc>
        <w:tc>
          <w:tcPr>
            <w:tcW w:w="4862" w:type="dxa"/>
          </w:tcPr>
          <w:p w:rsidR="000C254D" w:rsidRDefault="000C254D" w:rsidP="00241487"/>
        </w:tc>
      </w:tr>
      <w:tr w:rsidR="000C254D" w:rsidRPr="00241487" w:rsidTr="001176DA">
        <w:tc>
          <w:tcPr>
            <w:tcW w:w="4874" w:type="dxa"/>
          </w:tcPr>
          <w:p w:rsidR="000C254D" w:rsidRDefault="000C254D" w:rsidP="00241487"/>
        </w:tc>
        <w:tc>
          <w:tcPr>
            <w:tcW w:w="4862" w:type="dxa"/>
          </w:tcPr>
          <w:p w:rsidR="000C254D" w:rsidRPr="00246434" w:rsidRDefault="00246434" w:rsidP="00241487">
            <w:pPr>
              <w:rPr>
                <w:lang w:val="fr-FR"/>
              </w:rPr>
            </w:pPr>
            <w:r w:rsidRPr="00246434">
              <w:rPr>
                <w:lang w:val="fr-FR"/>
              </w:rPr>
              <w:t xml:space="preserve">Veuillez </w:t>
            </w:r>
            <w:r w:rsidR="004C2531">
              <w:rPr>
                <w:lang w:val="fr-FR"/>
              </w:rPr>
              <w:t>mentionner</w:t>
            </w:r>
            <w:r w:rsidRPr="00246434">
              <w:rPr>
                <w:lang w:val="fr-FR"/>
              </w:rPr>
              <w:t xml:space="preserve"> chaque source particuli</w:t>
            </w:r>
            <w:r>
              <w:rPr>
                <w:lang w:val="fr-FR"/>
              </w:rPr>
              <w:t xml:space="preserve">ère (par exemple des donations bilatérales, FIDA, banque mondiale, </w:t>
            </w:r>
            <w:r w:rsidR="00DE1AF9">
              <w:rPr>
                <w:lang w:val="fr-FR"/>
              </w:rPr>
              <w:t>etc.</w:t>
            </w:r>
            <w:r>
              <w:rPr>
                <w:lang w:val="fr-FR"/>
              </w:rPr>
              <w:t>)</w:t>
            </w:r>
          </w:p>
        </w:tc>
      </w:tr>
    </w:tbl>
    <w:p w:rsidR="000C254D" w:rsidRPr="00EE3A85" w:rsidRDefault="000C254D" w:rsidP="00241487">
      <w:pPr>
        <w:rPr>
          <w:sz w:val="24"/>
          <w:szCs w:val="24"/>
          <w:lang w:val="fr-FR" w:bidi="ar-SY"/>
        </w:rPr>
      </w:pPr>
    </w:p>
    <w:p w:rsidR="00DE1AF9" w:rsidRPr="00963FBB" w:rsidRDefault="00DE1AF9" w:rsidP="00963FBB">
      <w:pPr>
        <w:pStyle w:val="ListParagraph"/>
        <w:numPr>
          <w:ilvl w:val="0"/>
          <w:numId w:val="19"/>
        </w:numPr>
        <w:ind w:left="360"/>
        <w:rPr>
          <w:rFonts w:ascii="Cambria" w:hAnsi="Cambria"/>
          <w:b/>
          <w:color w:val="2E74B5" w:themeColor="accent1" w:themeShade="BF"/>
          <w:sz w:val="26"/>
          <w:szCs w:val="26"/>
          <w:lang w:val="fr-FR" w:bidi="ar-SY"/>
        </w:rPr>
      </w:pPr>
      <w:r w:rsidRPr="00963FBB">
        <w:rPr>
          <w:rFonts w:ascii="Cambria" w:hAnsi="Cambria"/>
          <w:b/>
          <w:color w:val="2E74B5" w:themeColor="accent1" w:themeShade="BF"/>
          <w:sz w:val="26"/>
          <w:szCs w:val="26"/>
          <w:lang w:val="fr-FR" w:bidi="ar-SY"/>
        </w:rPr>
        <w:t>Investissements spécifiques dans la conservation et l'utilisation durable des RPGAA et dans d'autres domaines d'application du Traité international</w:t>
      </w:r>
    </w:p>
    <w:p w:rsidR="004C2531" w:rsidRPr="004C2531" w:rsidRDefault="004C2531" w:rsidP="00241487">
      <w:pPr>
        <w:pStyle w:val="ListParagraph"/>
        <w:ind w:left="0"/>
        <w:rPr>
          <w:color w:val="2E74B5" w:themeColor="accent1" w:themeShade="BF"/>
          <w:sz w:val="24"/>
          <w:szCs w:val="24"/>
          <w:lang w:val="fr-FR" w:bidi="ar-SY"/>
        </w:rPr>
      </w:pPr>
    </w:p>
    <w:p w:rsidR="00DE1AF9" w:rsidRPr="00963FBB" w:rsidRDefault="00DE1AF9" w:rsidP="00241487">
      <w:pPr>
        <w:pStyle w:val="ListParagraph"/>
        <w:ind w:left="0"/>
        <w:rPr>
          <w:lang w:val="fr-FR" w:bidi="ar-SY"/>
        </w:rPr>
      </w:pPr>
      <w:r w:rsidRPr="00963FBB">
        <w:rPr>
          <w:lang w:val="fr-FR" w:bidi="ar-SY"/>
        </w:rPr>
        <w:t xml:space="preserve">Nous recherchons </w:t>
      </w:r>
      <w:r w:rsidR="00221773" w:rsidRPr="00963FBB">
        <w:rPr>
          <w:lang w:val="fr-FR" w:bidi="ar-SY"/>
        </w:rPr>
        <w:t>notamment</w:t>
      </w:r>
      <w:r w:rsidRPr="00963FBB">
        <w:rPr>
          <w:lang w:val="fr-FR" w:bidi="ar-SY"/>
        </w:rPr>
        <w:t xml:space="preserve"> des informations sur les investissements nationaux dans différents domaines d’application du Traité</w:t>
      </w:r>
      <w:r w:rsidR="00221773" w:rsidRPr="00963FBB">
        <w:rPr>
          <w:lang w:val="fr-FR" w:bidi="ar-SY"/>
        </w:rPr>
        <w:t>, à savoir</w:t>
      </w:r>
      <w:r w:rsidRPr="00963FBB">
        <w:rPr>
          <w:lang w:val="fr-FR" w:bidi="ar-SY"/>
        </w:rPr>
        <w:t xml:space="preserve">: (A) </w:t>
      </w:r>
      <w:r w:rsidR="004C2531" w:rsidRPr="00963FBB">
        <w:rPr>
          <w:b/>
          <w:bCs/>
          <w:lang w:val="fr-FR" w:bidi="ar-SY"/>
        </w:rPr>
        <w:t>C</w:t>
      </w:r>
      <w:r w:rsidRPr="00963FBB">
        <w:rPr>
          <w:b/>
          <w:bCs/>
          <w:lang w:val="fr-FR" w:bidi="ar-SY"/>
        </w:rPr>
        <w:t>onservation et utilisation durable des RPGAA</w:t>
      </w:r>
      <w:r w:rsidRPr="00963FBB">
        <w:rPr>
          <w:lang w:val="fr-FR" w:bidi="ar-SY"/>
        </w:rPr>
        <w:t xml:space="preserve">, ainsi que (B) </w:t>
      </w:r>
      <w:r w:rsidRPr="00963FBB">
        <w:rPr>
          <w:b/>
          <w:bCs/>
          <w:lang w:val="fr-FR" w:bidi="ar-SY"/>
        </w:rPr>
        <w:t>d'autres domaines d’application du Traité</w:t>
      </w:r>
      <w:r w:rsidRPr="00963FBB">
        <w:rPr>
          <w:lang w:val="fr-FR" w:bidi="ar-SY"/>
        </w:rPr>
        <w:t>.</w:t>
      </w:r>
    </w:p>
    <w:p w:rsidR="00DE1AF9" w:rsidRDefault="00DE1AF9" w:rsidP="00241487">
      <w:pPr>
        <w:rPr>
          <w:sz w:val="24"/>
          <w:szCs w:val="24"/>
          <w:lang w:val="fr-FR" w:bidi="ar-SY"/>
        </w:rPr>
      </w:pPr>
    </w:p>
    <w:p w:rsidR="00DE1AF9" w:rsidRPr="00963FBB" w:rsidRDefault="00DE1AF9" w:rsidP="00963FBB">
      <w:pPr>
        <w:pStyle w:val="ListParagraph"/>
        <w:numPr>
          <w:ilvl w:val="0"/>
          <w:numId w:val="20"/>
        </w:numPr>
        <w:ind w:left="0" w:firstLine="360"/>
        <w:rPr>
          <w:rFonts w:ascii="Cambria" w:hAnsi="Cambria"/>
          <w:b/>
          <w:color w:val="2E74B5" w:themeColor="accent1" w:themeShade="BF"/>
          <w:lang w:val="fr-FR" w:bidi="ar-SY"/>
        </w:rPr>
      </w:pPr>
      <w:r w:rsidRPr="00963FBB">
        <w:rPr>
          <w:rFonts w:ascii="Cambria" w:hAnsi="Cambria"/>
          <w:b/>
          <w:color w:val="2E74B5" w:themeColor="accent1" w:themeShade="BF"/>
          <w:lang w:val="fr-FR" w:bidi="ar-SY"/>
        </w:rPr>
        <w:t>Conservation et utilisation durable des RPGAA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8"/>
        <w:gridCol w:w="2488"/>
        <w:gridCol w:w="2309"/>
        <w:gridCol w:w="2430"/>
      </w:tblGrid>
      <w:tr w:rsidR="00DE1AF9" w:rsidRPr="00241487" w:rsidTr="007B4A6A">
        <w:tc>
          <w:tcPr>
            <w:tcW w:w="2488" w:type="dxa"/>
            <w:shd w:val="clear" w:color="auto" w:fill="8EAADB" w:themeFill="accent5" w:themeFillTint="99"/>
          </w:tcPr>
          <w:p w:rsidR="00DE1AF9" w:rsidRPr="00FD1923" w:rsidRDefault="00DE1AF9" w:rsidP="00241487">
            <w:pPr>
              <w:rPr>
                <w:sz w:val="20"/>
                <w:szCs w:val="20"/>
                <w:lang w:val="fr-FR"/>
              </w:rPr>
            </w:pPr>
            <w:r w:rsidRPr="00FD1923">
              <w:rPr>
                <w:sz w:val="20"/>
                <w:szCs w:val="20"/>
                <w:lang w:val="fr-FR"/>
              </w:rPr>
              <w:t xml:space="preserve">Conservation </w:t>
            </w:r>
            <w:r w:rsidR="00847379">
              <w:rPr>
                <w:sz w:val="20"/>
                <w:szCs w:val="20"/>
                <w:lang w:val="fr-FR"/>
              </w:rPr>
              <w:t>e</w:t>
            </w:r>
            <w:r w:rsidRPr="00FD1923">
              <w:rPr>
                <w:sz w:val="20"/>
                <w:szCs w:val="20"/>
                <w:lang w:val="fr-FR"/>
              </w:rPr>
              <w:t>x situ</w:t>
            </w:r>
          </w:p>
        </w:tc>
        <w:tc>
          <w:tcPr>
            <w:tcW w:w="2488" w:type="dxa"/>
            <w:shd w:val="clear" w:color="auto" w:fill="8EAADB" w:themeFill="accent5" w:themeFillTint="99"/>
          </w:tcPr>
          <w:p w:rsidR="00DE1AF9" w:rsidRPr="00FD1923" w:rsidRDefault="00DE1AF9" w:rsidP="00241487">
            <w:pPr>
              <w:rPr>
                <w:sz w:val="20"/>
                <w:szCs w:val="20"/>
                <w:lang w:val="fr-FR"/>
              </w:rPr>
            </w:pPr>
            <w:r w:rsidRPr="00FD1923">
              <w:rPr>
                <w:sz w:val="20"/>
                <w:szCs w:val="20"/>
                <w:lang w:val="fr-FR"/>
              </w:rPr>
              <w:t xml:space="preserve">Conservation </w:t>
            </w:r>
            <w:r w:rsidR="00847379">
              <w:rPr>
                <w:sz w:val="20"/>
                <w:szCs w:val="20"/>
                <w:lang w:val="fr-FR"/>
              </w:rPr>
              <w:t>i</w:t>
            </w:r>
            <w:r w:rsidRPr="00FD1923">
              <w:rPr>
                <w:sz w:val="20"/>
                <w:szCs w:val="20"/>
                <w:lang w:val="fr-FR"/>
              </w:rPr>
              <w:t>n situ</w:t>
            </w:r>
          </w:p>
        </w:tc>
        <w:tc>
          <w:tcPr>
            <w:tcW w:w="2309" w:type="dxa"/>
            <w:shd w:val="clear" w:color="auto" w:fill="8EAADB" w:themeFill="accent5" w:themeFillTint="99"/>
          </w:tcPr>
          <w:p w:rsidR="00DE1AF9" w:rsidRPr="00FD1923" w:rsidRDefault="00DE1AF9" w:rsidP="00241487">
            <w:pPr>
              <w:rPr>
                <w:sz w:val="20"/>
                <w:szCs w:val="20"/>
                <w:lang w:val="fr-FR"/>
              </w:rPr>
            </w:pPr>
            <w:r w:rsidRPr="00FD1923">
              <w:rPr>
                <w:sz w:val="20"/>
                <w:szCs w:val="20"/>
                <w:lang w:val="fr-FR"/>
              </w:rPr>
              <w:t>Gestion à la ferme</w:t>
            </w:r>
          </w:p>
        </w:tc>
        <w:tc>
          <w:tcPr>
            <w:tcW w:w="2430" w:type="dxa"/>
            <w:shd w:val="clear" w:color="auto" w:fill="8EAADB" w:themeFill="accent5" w:themeFillTint="99"/>
          </w:tcPr>
          <w:p w:rsidR="00DE1AF9" w:rsidRPr="00FD1923" w:rsidRDefault="004C2531" w:rsidP="00241487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Amélioration des plantes</w:t>
            </w:r>
            <w:r w:rsidR="0016345E" w:rsidRPr="00FD1923">
              <w:rPr>
                <w:sz w:val="20"/>
                <w:szCs w:val="20"/>
                <w:lang w:val="fr-FR"/>
              </w:rPr>
              <w:t xml:space="preserve"> et utilisation durable</w:t>
            </w:r>
            <w:r w:rsidR="00221773">
              <w:rPr>
                <w:sz w:val="20"/>
                <w:szCs w:val="20"/>
                <w:lang w:val="fr-FR"/>
              </w:rPr>
              <w:t xml:space="preserve"> des ressources</w:t>
            </w:r>
          </w:p>
        </w:tc>
      </w:tr>
      <w:tr w:rsidR="00DE1AF9" w:rsidRPr="00241487" w:rsidTr="007B4A6A">
        <w:tc>
          <w:tcPr>
            <w:tcW w:w="2488" w:type="dxa"/>
          </w:tcPr>
          <w:p w:rsidR="00DE1AF9" w:rsidRPr="00963FBB" w:rsidRDefault="0016345E" w:rsidP="00DE21A9">
            <w:pPr>
              <w:rPr>
                <w:sz w:val="18"/>
                <w:szCs w:val="18"/>
                <w:lang w:val="fr-FR"/>
              </w:rPr>
            </w:pPr>
            <w:r w:rsidRPr="00963FBB">
              <w:rPr>
                <w:sz w:val="18"/>
                <w:szCs w:val="18"/>
                <w:lang w:val="fr-FR"/>
              </w:rPr>
              <w:t xml:space="preserve">Une grande et importante quantité de ressources </w:t>
            </w:r>
            <w:proofErr w:type="spellStart"/>
            <w:r w:rsidRPr="00963FBB">
              <w:rPr>
                <w:sz w:val="18"/>
                <w:szCs w:val="18"/>
                <w:lang w:val="fr-FR"/>
              </w:rPr>
              <w:t>phytogénétiques</w:t>
            </w:r>
            <w:proofErr w:type="spellEnd"/>
            <w:r w:rsidRPr="00963FBB">
              <w:rPr>
                <w:sz w:val="18"/>
                <w:szCs w:val="18"/>
                <w:lang w:val="fr-FR"/>
              </w:rPr>
              <w:t xml:space="preserve">, vitales pour </w:t>
            </w:r>
            <w:r w:rsidR="006D2F04" w:rsidRPr="00963FBB">
              <w:rPr>
                <w:sz w:val="18"/>
                <w:szCs w:val="18"/>
                <w:lang w:val="fr-FR"/>
              </w:rPr>
              <w:t xml:space="preserve">assurer </w:t>
            </w:r>
            <w:r w:rsidRPr="00963FBB">
              <w:rPr>
                <w:sz w:val="18"/>
                <w:szCs w:val="18"/>
                <w:lang w:val="fr-FR"/>
              </w:rPr>
              <w:t xml:space="preserve">la sécurité alimentaire mondiale, est conservée dans des banques de gènes en tant que collections ex situ, </w:t>
            </w:r>
            <w:r w:rsidR="00221773" w:rsidRPr="00963FBB">
              <w:rPr>
                <w:sz w:val="18"/>
                <w:szCs w:val="18"/>
                <w:lang w:val="fr-FR"/>
              </w:rPr>
              <w:t xml:space="preserve">qui sont </w:t>
            </w:r>
            <w:r w:rsidR="00B83377" w:rsidRPr="00963FBB">
              <w:rPr>
                <w:sz w:val="18"/>
                <w:szCs w:val="18"/>
                <w:lang w:val="fr-FR"/>
              </w:rPr>
              <w:t xml:space="preserve">stockées </w:t>
            </w:r>
            <w:r w:rsidRPr="00963FBB">
              <w:rPr>
                <w:sz w:val="18"/>
                <w:szCs w:val="18"/>
                <w:lang w:val="fr-FR"/>
              </w:rPr>
              <w:t xml:space="preserve">aux niveaux national, régional ou mondial. Il est </w:t>
            </w:r>
            <w:r w:rsidR="006D2F04" w:rsidRPr="00963FBB">
              <w:rPr>
                <w:sz w:val="18"/>
                <w:szCs w:val="18"/>
                <w:lang w:val="fr-FR"/>
              </w:rPr>
              <w:t>indispensable</w:t>
            </w:r>
            <w:r w:rsidRPr="00963FBB">
              <w:rPr>
                <w:sz w:val="18"/>
                <w:szCs w:val="18"/>
                <w:lang w:val="fr-FR"/>
              </w:rPr>
              <w:t xml:space="preserve"> de garantir des conditions de stockage adéquates pour le</w:t>
            </w:r>
            <w:r w:rsidR="001C70FB" w:rsidRPr="00963FBB">
              <w:rPr>
                <w:sz w:val="18"/>
                <w:szCs w:val="18"/>
                <w:lang w:val="fr-FR"/>
              </w:rPr>
              <w:t>s</w:t>
            </w:r>
            <w:r w:rsidRPr="00963FBB">
              <w:rPr>
                <w:sz w:val="18"/>
                <w:szCs w:val="18"/>
                <w:lang w:val="fr-FR"/>
              </w:rPr>
              <w:t xml:space="preserve"> matériel</w:t>
            </w:r>
            <w:r w:rsidR="001C70FB" w:rsidRPr="00963FBB">
              <w:rPr>
                <w:sz w:val="18"/>
                <w:szCs w:val="18"/>
                <w:lang w:val="fr-FR"/>
              </w:rPr>
              <w:t>s</w:t>
            </w:r>
            <w:r w:rsidRPr="00963FBB">
              <w:rPr>
                <w:sz w:val="18"/>
                <w:szCs w:val="18"/>
                <w:lang w:val="fr-FR"/>
              </w:rPr>
              <w:t xml:space="preserve"> génétique</w:t>
            </w:r>
            <w:r w:rsidR="001C70FB" w:rsidRPr="00963FBB">
              <w:rPr>
                <w:sz w:val="18"/>
                <w:szCs w:val="18"/>
                <w:lang w:val="fr-FR"/>
              </w:rPr>
              <w:t>s</w:t>
            </w:r>
            <w:r w:rsidRPr="00963FBB">
              <w:rPr>
                <w:sz w:val="18"/>
                <w:szCs w:val="18"/>
                <w:lang w:val="fr-FR"/>
              </w:rPr>
              <w:t xml:space="preserve"> déjà collecté</w:t>
            </w:r>
            <w:r w:rsidR="001C70FB" w:rsidRPr="00963FBB">
              <w:rPr>
                <w:sz w:val="18"/>
                <w:szCs w:val="18"/>
                <w:lang w:val="fr-FR"/>
              </w:rPr>
              <w:t>s</w:t>
            </w:r>
            <w:r w:rsidRPr="00963FBB">
              <w:rPr>
                <w:sz w:val="18"/>
                <w:szCs w:val="18"/>
                <w:lang w:val="fr-FR"/>
              </w:rPr>
              <w:t xml:space="preserve"> et d'assurer leur régénération et leur duplication en sécurité, ainsi que </w:t>
            </w:r>
            <w:r w:rsidR="00DE21A9" w:rsidRPr="00963FBB">
              <w:rPr>
                <w:sz w:val="18"/>
                <w:szCs w:val="18"/>
                <w:lang w:val="fr-FR"/>
              </w:rPr>
              <w:t>d’appuyer</w:t>
            </w:r>
            <w:r w:rsidR="001C70FB" w:rsidRPr="00963FBB">
              <w:rPr>
                <w:sz w:val="18"/>
                <w:szCs w:val="18"/>
                <w:lang w:val="fr-FR"/>
              </w:rPr>
              <w:t xml:space="preserve"> </w:t>
            </w:r>
            <w:r w:rsidRPr="00963FBB">
              <w:rPr>
                <w:sz w:val="18"/>
                <w:szCs w:val="18"/>
                <w:lang w:val="fr-FR"/>
              </w:rPr>
              <w:t>les collections ciblées pour combler les lacunes de la conservation ex situ.</w:t>
            </w:r>
          </w:p>
        </w:tc>
        <w:tc>
          <w:tcPr>
            <w:tcW w:w="2488" w:type="dxa"/>
          </w:tcPr>
          <w:p w:rsidR="00DE1AF9" w:rsidRPr="00963FBB" w:rsidRDefault="00F16CA8" w:rsidP="00241487">
            <w:pPr>
              <w:rPr>
                <w:sz w:val="18"/>
                <w:szCs w:val="18"/>
                <w:lang w:val="fr-FR"/>
              </w:rPr>
            </w:pPr>
            <w:r w:rsidRPr="00963FBB">
              <w:rPr>
                <w:sz w:val="18"/>
                <w:szCs w:val="18"/>
                <w:lang w:val="fr-FR"/>
              </w:rPr>
              <w:t xml:space="preserve">La conservation des ressources </w:t>
            </w:r>
            <w:proofErr w:type="spellStart"/>
            <w:r w:rsidRPr="00963FBB">
              <w:rPr>
                <w:sz w:val="18"/>
                <w:szCs w:val="18"/>
                <w:lang w:val="fr-FR"/>
              </w:rPr>
              <w:t>phytogénétiques</w:t>
            </w:r>
            <w:proofErr w:type="spellEnd"/>
            <w:r w:rsidRPr="00963FBB">
              <w:rPr>
                <w:sz w:val="18"/>
                <w:szCs w:val="18"/>
                <w:lang w:val="fr-FR"/>
              </w:rPr>
              <w:t xml:space="preserve"> dans les écosystèmes naturels assure l’évolution</w:t>
            </w:r>
            <w:r w:rsidR="006D2F04" w:rsidRPr="00963FBB">
              <w:rPr>
                <w:sz w:val="18"/>
                <w:szCs w:val="18"/>
                <w:lang w:val="fr-FR"/>
              </w:rPr>
              <w:t xml:space="preserve"> continue</w:t>
            </w:r>
            <w:r w:rsidRPr="00963FBB">
              <w:rPr>
                <w:sz w:val="18"/>
                <w:szCs w:val="18"/>
                <w:lang w:val="fr-FR"/>
              </w:rPr>
              <w:t xml:space="preserve"> et l’adaptation de ces ressources. La conservation in situ des espèces sauvages apparentées aux plantes cultivées et </w:t>
            </w:r>
            <w:r w:rsidR="007711B7" w:rsidRPr="00963FBB">
              <w:rPr>
                <w:sz w:val="18"/>
                <w:szCs w:val="18"/>
                <w:lang w:val="fr-FR"/>
              </w:rPr>
              <w:t xml:space="preserve">des plantes </w:t>
            </w:r>
            <w:r w:rsidRPr="00963FBB">
              <w:rPr>
                <w:sz w:val="18"/>
                <w:szCs w:val="18"/>
                <w:lang w:val="fr-FR"/>
              </w:rPr>
              <w:t xml:space="preserve">sauvages destinées à la production alimentaire, y compris dans des zones protégées, est </w:t>
            </w:r>
            <w:r w:rsidR="007711B7" w:rsidRPr="00963FBB">
              <w:rPr>
                <w:sz w:val="18"/>
                <w:szCs w:val="18"/>
                <w:lang w:val="fr-FR"/>
              </w:rPr>
              <w:t>primordiale</w:t>
            </w:r>
            <w:r w:rsidRPr="00963FBB">
              <w:rPr>
                <w:sz w:val="18"/>
                <w:szCs w:val="18"/>
                <w:lang w:val="fr-FR"/>
              </w:rPr>
              <w:t xml:space="preserve"> et soutient, entre autres, les efforts des communautés autochtones et locales.</w:t>
            </w:r>
          </w:p>
        </w:tc>
        <w:tc>
          <w:tcPr>
            <w:tcW w:w="2309" w:type="dxa"/>
          </w:tcPr>
          <w:p w:rsidR="00DE1AF9" w:rsidRPr="00963FBB" w:rsidRDefault="00F710B8" w:rsidP="00DE21A9">
            <w:pPr>
              <w:rPr>
                <w:sz w:val="18"/>
                <w:szCs w:val="18"/>
                <w:lang w:val="fr-FR"/>
              </w:rPr>
            </w:pPr>
            <w:r w:rsidRPr="00963FBB">
              <w:rPr>
                <w:sz w:val="18"/>
                <w:szCs w:val="18"/>
                <w:lang w:val="fr-FR"/>
              </w:rPr>
              <w:t xml:space="preserve">La gestion à la ferme des RPGAA prévoit l'évolution </w:t>
            </w:r>
            <w:r w:rsidR="006D2F04" w:rsidRPr="00963FBB">
              <w:rPr>
                <w:sz w:val="18"/>
                <w:szCs w:val="18"/>
                <w:lang w:val="fr-FR"/>
              </w:rPr>
              <w:t xml:space="preserve">continue </w:t>
            </w:r>
            <w:r w:rsidRPr="00963FBB">
              <w:rPr>
                <w:sz w:val="18"/>
                <w:szCs w:val="18"/>
                <w:lang w:val="fr-FR"/>
              </w:rPr>
              <w:t xml:space="preserve">et l'adaptation de ces ressources </w:t>
            </w:r>
            <w:r w:rsidR="003353F9" w:rsidRPr="00963FBB">
              <w:rPr>
                <w:sz w:val="18"/>
                <w:szCs w:val="18"/>
                <w:lang w:val="fr-FR"/>
              </w:rPr>
              <w:t>aux</w:t>
            </w:r>
            <w:r w:rsidRPr="00963FBB">
              <w:rPr>
                <w:sz w:val="18"/>
                <w:szCs w:val="18"/>
                <w:lang w:val="fr-FR"/>
              </w:rPr>
              <w:t xml:space="preserve"> forces environnementales</w:t>
            </w:r>
            <w:r w:rsidR="003353F9" w:rsidRPr="00963FBB">
              <w:rPr>
                <w:sz w:val="18"/>
                <w:szCs w:val="18"/>
                <w:lang w:val="fr-FR"/>
              </w:rPr>
              <w:t xml:space="preserve"> variables,</w:t>
            </w:r>
            <w:r w:rsidRPr="00963FBB">
              <w:rPr>
                <w:sz w:val="18"/>
                <w:szCs w:val="18"/>
                <w:lang w:val="fr-FR"/>
              </w:rPr>
              <w:t xml:space="preserve"> et est donc </w:t>
            </w:r>
            <w:r w:rsidR="002035C8" w:rsidRPr="00963FBB">
              <w:rPr>
                <w:sz w:val="18"/>
                <w:szCs w:val="18"/>
                <w:lang w:val="fr-FR"/>
              </w:rPr>
              <w:t xml:space="preserve">fondamentale </w:t>
            </w:r>
            <w:r w:rsidRPr="00963FBB">
              <w:rPr>
                <w:sz w:val="18"/>
                <w:szCs w:val="18"/>
                <w:lang w:val="fr-FR"/>
              </w:rPr>
              <w:t>pour la création d'une nouvelle diversité importante pour l'amélioration des cultures</w:t>
            </w:r>
            <w:r w:rsidR="00DE21A9" w:rsidRPr="00963FBB">
              <w:rPr>
                <w:sz w:val="18"/>
                <w:szCs w:val="18"/>
                <w:lang w:val="fr-FR"/>
              </w:rPr>
              <w:t xml:space="preserve"> à l’avenir</w:t>
            </w:r>
            <w:r w:rsidRPr="00963FBB">
              <w:rPr>
                <w:sz w:val="18"/>
                <w:szCs w:val="18"/>
                <w:lang w:val="fr-FR"/>
              </w:rPr>
              <w:t xml:space="preserve">. Les agriculteurs et les communautés autochtones et locales jouent un rôle </w:t>
            </w:r>
            <w:r w:rsidR="008E7485" w:rsidRPr="00963FBB">
              <w:rPr>
                <w:sz w:val="18"/>
                <w:szCs w:val="18"/>
                <w:lang w:val="fr-FR"/>
              </w:rPr>
              <w:t>primordial</w:t>
            </w:r>
            <w:r w:rsidRPr="00963FBB">
              <w:rPr>
                <w:sz w:val="18"/>
                <w:szCs w:val="18"/>
                <w:lang w:val="fr-FR"/>
              </w:rPr>
              <w:t xml:space="preserve"> dans </w:t>
            </w:r>
            <w:r w:rsidR="00DE21A9" w:rsidRPr="00963FBB">
              <w:rPr>
                <w:sz w:val="18"/>
                <w:szCs w:val="18"/>
                <w:lang w:val="fr-FR"/>
              </w:rPr>
              <w:t>l’amélioration</w:t>
            </w:r>
            <w:r w:rsidRPr="00963FBB">
              <w:rPr>
                <w:sz w:val="18"/>
                <w:szCs w:val="18"/>
                <w:lang w:val="fr-FR"/>
              </w:rPr>
              <w:t xml:space="preserve"> et la conservation de la diversité </w:t>
            </w:r>
            <w:proofErr w:type="spellStart"/>
            <w:r w:rsidR="008E7485" w:rsidRPr="00963FBB">
              <w:rPr>
                <w:sz w:val="18"/>
                <w:szCs w:val="18"/>
                <w:lang w:val="fr-FR"/>
              </w:rPr>
              <w:t>phytogénétique</w:t>
            </w:r>
            <w:proofErr w:type="spellEnd"/>
            <w:r w:rsidR="008E7485" w:rsidRPr="00963FBB">
              <w:rPr>
                <w:sz w:val="18"/>
                <w:szCs w:val="18"/>
                <w:lang w:val="fr-FR"/>
              </w:rPr>
              <w:t>.</w:t>
            </w:r>
          </w:p>
        </w:tc>
        <w:tc>
          <w:tcPr>
            <w:tcW w:w="2430" w:type="dxa"/>
          </w:tcPr>
          <w:p w:rsidR="00DE1AF9" w:rsidRPr="00963FBB" w:rsidRDefault="00827E20" w:rsidP="00241487">
            <w:pPr>
              <w:rPr>
                <w:sz w:val="18"/>
                <w:szCs w:val="18"/>
                <w:lang w:val="fr-FR"/>
              </w:rPr>
            </w:pPr>
            <w:r w:rsidRPr="00963FBB">
              <w:rPr>
                <w:sz w:val="18"/>
                <w:szCs w:val="18"/>
                <w:lang w:val="fr-FR"/>
              </w:rPr>
              <w:t xml:space="preserve">L'utilisation durable des RPGAA </w:t>
            </w:r>
            <w:r w:rsidR="002035C8" w:rsidRPr="00963FBB">
              <w:rPr>
                <w:sz w:val="18"/>
                <w:szCs w:val="18"/>
                <w:lang w:val="fr-FR"/>
              </w:rPr>
              <w:t>comprend</w:t>
            </w:r>
            <w:r w:rsidRPr="00963FBB">
              <w:rPr>
                <w:sz w:val="18"/>
                <w:szCs w:val="18"/>
                <w:lang w:val="fr-FR"/>
              </w:rPr>
              <w:t xml:space="preserve"> un large éventail d'activités allant de la diversification des cultures à </w:t>
            </w:r>
            <w:r w:rsidR="006D2F04" w:rsidRPr="00963FBB">
              <w:rPr>
                <w:sz w:val="18"/>
                <w:szCs w:val="18"/>
                <w:lang w:val="fr-FR"/>
              </w:rPr>
              <w:t>la généralisation de</w:t>
            </w:r>
            <w:r w:rsidRPr="00963FBB">
              <w:rPr>
                <w:sz w:val="18"/>
                <w:szCs w:val="18"/>
                <w:lang w:val="fr-FR"/>
              </w:rPr>
              <w:t xml:space="preserve"> l</w:t>
            </w:r>
            <w:r w:rsidR="006D2F04" w:rsidRPr="00963FBB">
              <w:rPr>
                <w:sz w:val="18"/>
                <w:szCs w:val="18"/>
                <w:lang w:val="fr-FR"/>
              </w:rPr>
              <w:t>'utilisation des variétés, de l’amélioration</w:t>
            </w:r>
            <w:r w:rsidRPr="00963FBB">
              <w:rPr>
                <w:sz w:val="18"/>
                <w:szCs w:val="18"/>
                <w:lang w:val="fr-FR"/>
              </w:rPr>
              <w:t xml:space="preserve"> des cultures à la sélection des plantes et à la distribution des semences. L'utilisation durable des RPGAA est indispensable pour ajouter de la valeur à la biodiversité agricole et servir de pont entre les activités ex situ et à la ferme.</w:t>
            </w:r>
          </w:p>
        </w:tc>
      </w:tr>
    </w:tbl>
    <w:p w:rsidR="004259A4" w:rsidRPr="00EE3A85" w:rsidRDefault="004259A4" w:rsidP="00241487">
      <w:pPr>
        <w:rPr>
          <w:sz w:val="24"/>
          <w:szCs w:val="24"/>
          <w:lang w:val="fr-FR" w:bidi="ar-SY"/>
        </w:rPr>
      </w:pPr>
    </w:p>
    <w:p w:rsidR="004259A4" w:rsidRPr="00963FBB" w:rsidRDefault="004259A4" w:rsidP="00241487">
      <w:pPr>
        <w:rPr>
          <w:lang w:val="fr-FR" w:bidi="ar-SY"/>
        </w:rPr>
      </w:pPr>
      <w:r w:rsidRPr="004259A4">
        <w:rPr>
          <w:sz w:val="24"/>
          <w:szCs w:val="24"/>
          <w:lang w:val="fr-FR" w:bidi="ar-SY"/>
        </w:rPr>
        <w:t xml:space="preserve">2.1. </w:t>
      </w:r>
      <w:r w:rsidR="00241487">
        <w:rPr>
          <w:sz w:val="24"/>
          <w:szCs w:val="24"/>
          <w:lang w:val="fr-FR" w:bidi="ar-SY"/>
        </w:rPr>
        <w:tab/>
      </w:r>
      <w:r w:rsidRPr="00963FBB">
        <w:rPr>
          <w:lang w:val="fr-FR" w:bidi="ar-SY"/>
        </w:rPr>
        <w:t xml:space="preserve">Pourriez-vous </w:t>
      </w:r>
      <w:r w:rsidR="00D050B6" w:rsidRPr="00963FBB">
        <w:rPr>
          <w:lang w:val="fr-FR" w:bidi="ar-SY"/>
        </w:rPr>
        <w:t xml:space="preserve">donner </w:t>
      </w:r>
      <w:r w:rsidRPr="00963FBB">
        <w:rPr>
          <w:lang w:val="fr-FR" w:bidi="ar-SY"/>
        </w:rPr>
        <w:t>une estimation du montant dépensé annuellement (de toute</w:t>
      </w:r>
      <w:r w:rsidR="009C1757" w:rsidRPr="00963FBB">
        <w:rPr>
          <w:lang w:val="fr-FR" w:bidi="ar-SY"/>
        </w:rPr>
        <w:t xml:space="preserve"> source disponible) dans chacun</w:t>
      </w:r>
      <w:r w:rsidRPr="00963FBB">
        <w:rPr>
          <w:lang w:val="fr-FR" w:bidi="ar-SY"/>
        </w:rPr>
        <w:t xml:space="preserve"> des quatre </w:t>
      </w:r>
      <w:r w:rsidR="00F23D72" w:rsidRPr="00963FBB">
        <w:rPr>
          <w:lang w:val="fr-FR" w:bidi="ar-SY"/>
        </w:rPr>
        <w:t xml:space="preserve">domaines </w:t>
      </w:r>
      <w:r w:rsidRPr="00963FBB">
        <w:rPr>
          <w:b/>
          <w:bCs/>
          <w:lang w:val="fr-FR" w:bidi="ar-SY"/>
        </w:rPr>
        <w:t>de conservation et d'utilisation durable des RPGAA</w:t>
      </w:r>
      <w:r w:rsidRPr="00963FBB">
        <w:rPr>
          <w:lang w:val="fr-FR" w:bidi="ar-SY"/>
        </w:rPr>
        <w:t xml:space="preserve"> (en millions de dollars </w:t>
      </w:r>
      <w:r w:rsidR="006D2F04" w:rsidRPr="00963FBB">
        <w:rPr>
          <w:lang w:val="fr-FR" w:bidi="ar-SY"/>
        </w:rPr>
        <w:t>américains</w:t>
      </w:r>
      <w:r w:rsidRPr="00963FBB">
        <w:rPr>
          <w:lang w:val="fr-FR" w:bidi="ar-SY"/>
        </w:rPr>
        <w:t>)?</w:t>
      </w:r>
    </w:p>
    <w:p w:rsidR="00FD1923" w:rsidRPr="00EE3A85" w:rsidRDefault="00FD1923" w:rsidP="00241487">
      <w:pPr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6"/>
        <w:gridCol w:w="2435"/>
        <w:gridCol w:w="2437"/>
        <w:gridCol w:w="2428"/>
      </w:tblGrid>
      <w:tr w:rsidR="00FD1923" w:rsidRPr="00241487" w:rsidTr="00FD1923">
        <w:tc>
          <w:tcPr>
            <w:tcW w:w="2436" w:type="dxa"/>
            <w:shd w:val="clear" w:color="auto" w:fill="8EAADB" w:themeFill="accent5" w:themeFillTint="99"/>
          </w:tcPr>
          <w:p w:rsidR="00FD1923" w:rsidRPr="008C6E0A" w:rsidRDefault="00FD1923" w:rsidP="00241487">
            <w:pPr>
              <w:rPr>
                <w:sz w:val="20"/>
                <w:szCs w:val="20"/>
              </w:rPr>
            </w:pPr>
            <w:r w:rsidRPr="008C6E0A">
              <w:rPr>
                <w:sz w:val="20"/>
                <w:szCs w:val="20"/>
                <w:lang w:val="fr-FR"/>
              </w:rPr>
              <w:t xml:space="preserve">Conservation </w:t>
            </w:r>
            <w:r w:rsidR="00847379" w:rsidRPr="008C6E0A">
              <w:rPr>
                <w:sz w:val="20"/>
                <w:szCs w:val="20"/>
                <w:lang w:val="fr-FR"/>
              </w:rPr>
              <w:t>e</w:t>
            </w:r>
            <w:r w:rsidRPr="008C6E0A">
              <w:rPr>
                <w:sz w:val="20"/>
                <w:szCs w:val="20"/>
                <w:lang w:val="fr-FR"/>
              </w:rPr>
              <w:t>x situ</w:t>
            </w:r>
          </w:p>
        </w:tc>
        <w:tc>
          <w:tcPr>
            <w:tcW w:w="2435" w:type="dxa"/>
            <w:shd w:val="clear" w:color="auto" w:fill="8EAADB" w:themeFill="accent5" w:themeFillTint="99"/>
          </w:tcPr>
          <w:p w:rsidR="00FD1923" w:rsidRPr="008C6E0A" w:rsidRDefault="00FD1923" w:rsidP="00241487">
            <w:pPr>
              <w:rPr>
                <w:sz w:val="20"/>
                <w:szCs w:val="20"/>
                <w:lang w:val="fr-FR"/>
              </w:rPr>
            </w:pPr>
            <w:r w:rsidRPr="008C6E0A">
              <w:rPr>
                <w:sz w:val="20"/>
                <w:szCs w:val="20"/>
                <w:lang w:val="fr-FR"/>
              </w:rPr>
              <w:t xml:space="preserve">Conservation </w:t>
            </w:r>
            <w:r w:rsidR="00847379" w:rsidRPr="008C6E0A">
              <w:rPr>
                <w:sz w:val="20"/>
                <w:szCs w:val="20"/>
                <w:lang w:val="fr-FR"/>
              </w:rPr>
              <w:t>i</w:t>
            </w:r>
            <w:r w:rsidRPr="008C6E0A">
              <w:rPr>
                <w:sz w:val="20"/>
                <w:szCs w:val="20"/>
                <w:lang w:val="fr-FR"/>
              </w:rPr>
              <w:t>n situ</w:t>
            </w:r>
          </w:p>
        </w:tc>
        <w:tc>
          <w:tcPr>
            <w:tcW w:w="2437" w:type="dxa"/>
            <w:shd w:val="clear" w:color="auto" w:fill="8EAADB" w:themeFill="accent5" w:themeFillTint="99"/>
          </w:tcPr>
          <w:p w:rsidR="00FD1923" w:rsidRPr="008C6E0A" w:rsidRDefault="00FD1923" w:rsidP="00241487">
            <w:pPr>
              <w:rPr>
                <w:sz w:val="20"/>
                <w:szCs w:val="20"/>
              </w:rPr>
            </w:pPr>
            <w:r w:rsidRPr="008C6E0A">
              <w:rPr>
                <w:sz w:val="20"/>
                <w:szCs w:val="20"/>
                <w:lang w:val="fr-FR"/>
              </w:rPr>
              <w:t>Gestion à la ferme</w:t>
            </w:r>
          </w:p>
        </w:tc>
        <w:tc>
          <w:tcPr>
            <w:tcW w:w="2428" w:type="dxa"/>
            <w:shd w:val="clear" w:color="auto" w:fill="8EAADB" w:themeFill="accent5" w:themeFillTint="99"/>
          </w:tcPr>
          <w:p w:rsidR="00FD1923" w:rsidRPr="008C6E0A" w:rsidRDefault="008C6E0A" w:rsidP="00241487">
            <w:pPr>
              <w:rPr>
                <w:sz w:val="20"/>
                <w:szCs w:val="20"/>
                <w:lang w:val="fr-FR"/>
              </w:rPr>
            </w:pPr>
            <w:r w:rsidRPr="008C6E0A">
              <w:rPr>
                <w:sz w:val="20"/>
                <w:szCs w:val="20"/>
                <w:lang w:val="fr-FR"/>
              </w:rPr>
              <w:t>Amélioration des plantes</w:t>
            </w:r>
            <w:r w:rsidR="00FD1923" w:rsidRPr="008C6E0A">
              <w:rPr>
                <w:sz w:val="20"/>
                <w:szCs w:val="20"/>
                <w:lang w:val="fr-FR"/>
              </w:rPr>
              <w:t xml:space="preserve"> et utilisation durable</w:t>
            </w:r>
            <w:r w:rsidR="005245E4">
              <w:rPr>
                <w:sz w:val="20"/>
                <w:szCs w:val="20"/>
                <w:lang w:val="fr-FR"/>
              </w:rPr>
              <w:t xml:space="preserve"> des ressources</w:t>
            </w:r>
          </w:p>
        </w:tc>
      </w:tr>
      <w:tr w:rsidR="00FD1923" w:rsidRPr="00241487" w:rsidTr="00FD1923">
        <w:tc>
          <w:tcPr>
            <w:tcW w:w="2436" w:type="dxa"/>
            <w:shd w:val="clear" w:color="auto" w:fill="FFFFFF" w:themeFill="background1"/>
          </w:tcPr>
          <w:p w:rsidR="00FD1923" w:rsidRPr="008C6E0A" w:rsidRDefault="00FD1923" w:rsidP="00241487">
            <w:pPr>
              <w:jc w:val="both"/>
              <w:rPr>
                <w:lang w:val="fr-FR"/>
              </w:rPr>
            </w:pPr>
          </w:p>
          <w:p w:rsidR="00FD1923" w:rsidRPr="008C6E0A" w:rsidRDefault="00FD1923" w:rsidP="00241487">
            <w:pPr>
              <w:jc w:val="both"/>
              <w:rPr>
                <w:lang w:val="fr-FR"/>
              </w:rPr>
            </w:pPr>
          </w:p>
          <w:p w:rsidR="00FD1923" w:rsidRPr="008C6E0A" w:rsidRDefault="00FD1923" w:rsidP="00241487">
            <w:pPr>
              <w:jc w:val="both"/>
              <w:rPr>
                <w:lang w:val="fr-FR"/>
              </w:rPr>
            </w:pPr>
          </w:p>
        </w:tc>
        <w:tc>
          <w:tcPr>
            <w:tcW w:w="2435" w:type="dxa"/>
            <w:shd w:val="clear" w:color="auto" w:fill="FFFFFF" w:themeFill="background1"/>
          </w:tcPr>
          <w:p w:rsidR="00FD1923" w:rsidRPr="008C6E0A" w:rsidRDefault="00FD1923" w:rsidP="00241487">
            <w:pPr>
              <w:jc w:val="both"/>
              <w:rPr>
                <w:lang w:val="fr-FR"/>
              </w:rPr>
            </w:pPr>
          </w:p>
        </w:tc>
        <w:tc>
          <w:tcPr>
            <w:tcW w:w="2437" w:type="dxa"/>
            <w:shd w:val="clear" w:color="auto" w:fill="FFFFFF" w:themeFill="background1"/>
          </w:tcPr>
          <w:p w:rsidR="00FD1923" w:rsidRPr="008C6E0A" w:rsidRDefault="00FD1923" w:rsidP="00241487">
            <w:pPr>
              <w:jc w:val="both"/>
              <w:rPr>
                <w:lang w:val="fr-FR"/>
              </w:rPr>
            </w:pPr>
          </w:p>
        </w:tc>
        <w:tc>
          <w:tcPr>
            <w:tcW w:w="2428" w:type="dxa"/>
            <w:shd w:val="clear" w:color="auto" w:fill="FFFFFF" w:themeFill="background1"/>
          </w:tcPr>
          <w:p w:rsidR="00FD1923" w:rsidRPr="008C6E0A" w:rsidRDefault="00FD1923" w:rsidP="00241487">
            <w:pPr>
              <w:jc w:val="both"/>
              <w:rPr>
                <w:lang w:val="fr-FR"/>
              </w:rPr>
            </w:pPr>
          </w:p>
        </w:tc>
      </w:tr>
    </w:tbl>
    <w:p w:rsidR="00FD1923" w:rsidRPr="008C6E0A" w:rsidRDefault="00FD1923" w:rsidP="00241487">
      <w:pPr>
        <w:rPr>
          <w:sz w:val="24"/>
          <w:szCs w:val="24"/>
          <w:lang w:val="fr-FR" w:bidi="ar-SY"/>
        </w:rPr>
      </w:pPr>
    </w:p>
    <w:p w:rsidR="00857659" w:rsidRDefault="00857659" w:rsidP="00241487">
      <w:pPr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57659" w:rsidRPr="00C31516" w:rsidTr="001176DA">
        <w:trPr>
          <w:trHeight w:val="1387"/>
        </w:trPr>
        <w:tc>
          <w:tcPr>
            <w:tcW w:w="9736" w:type="dxa"/>
          </w:tcPr>
          <w:p w:rsidR="00857659" w:rsidRPr="00C31516" w:rsidRDefault="00857659" w:rsidP="00241487">
            <w:pPr>
              <w:rPr>
                <w:lang w:val="fr-FR"/>
              </w:rPr>
            </w:pPr>
            <w:r w:rsidRPr="00C31516">
              <w:rPr>
                <w:lang w:val="fr-FR"/>
              </w:rPr>
              <w:lastRenderedPageBreak/>
              <w:t xml:space="preserve">Autres commentaires: </w:t>
            </w:r>
          </w:p>
        </w:tc>
      </w:tr>
    </w:tbl>
    <w:p w:rsidR="00857659" w:rsidRDefault="00857659" w:rsidP="00241487">
      <w:pPr>
        <w:rPr>
          <w:sz w:val="24"/>
          <w:szCs w:val="24"/>
          <w:lang w:bidi="ar-SY"/>
        </w:rPr>
      </w:pPr>
    </w:p>
    <w:p w:rsidR="00C27C1D" w:rsidRPr="00963FBB" w:rsidRDefault="00C27C1D" w:rsidP="00241487">
      <w:pPr>
        <w:rPr>
          <w:lang w:val="fr-FR" w:bidi="ar-SY"/>
        </w:rPr>
      </w:pPr>
      <w:r w:rsidRPr="00C27C1D">
        <w:rPr>
          <w:sz w:val="24"/>
          <w:szCs w:val="24"/>
          <w:lang w:val="fr-FR" w:bidi="ar-SY"/>
        </w:rPr>
        <w:t xml:space="preserve">2.2.  </w:t>
      </w:r>
      <w:r w:rsidR="00241487">
        <w:rPr>
          <w:sz w:val="24"/>
          <w:szCs w:val="24"/>
          <w:lang w:val="fr-FR" w:bidi="ar-SY"/>
        </w:rPr>
        <w:tab/>
      </w:r>
      <w:r w:rsidRPr="00963FBB">
        <w:rPr>
          <w:lang w:val="fr-FR" w:bidi="ar-SY"/>
        </w:rPr>
        <w:t>Y aura</w:t>
      </w:r>
      <w:r w:rsidR="00F9225F" w:rsidRPr="00963FBB">
        <w:rPr>
          <w:lang w:val="fr-FR" w:bidi="ar-SY"/>
        </w:rPr>
        <w:t>it</w:t>
      </w:r>
      <w:r w:rsidRPr="00963FBB">
        <w:rPr>
          <w:lang w:val="fr-FR" w:bidi="ar-SY"/>
        </w:rPr>
        <w:t>-il une éventuelle variation dans les investissements prochainement (au cours des cinq prochaines années, jusqu’en décembre 2023)? L'investissement est-il susceptible d'augmenter, de diminuer ou de rester stable?</w:t>
      </w:r>
    </w:p>
    <w:p w:rsidR="00BC3F44" w:rsidRDefault="00BC3F44" w:rsidP="00241487">
      <w:pPr>
        <w:rPr>
          <w:sz w:val="24"/>
          <w:szCs w:val="24"/>
          <w:lang w:val="fr-FR" w:bidi="ar-S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6"/>
        <w:gridCol w:w="2435"/>
        <w:gridCol w:w="2437"/>
        <w:gridCol w:w="2428"/>
      </w:tblGrid>
      <w:tr w:rsidR="00BC3F44" w:rsidRPr="00241487" w:rsidTr="001176DA">
        <w:tc>
          <w:tcPr>
            <w:tcW w:w="2436" w:type="dxa"/>
            <w:shd w:val="clear" w:color="auto" w:fill="8EAADB" w:themeFill="accent5" w:themeFillTint="99"/>
          </w:tcPr>
          <w:p w:rsidR="00BC3F44" w:rsidRPr="008C6E0A" w:rsidRDefault="00BC3F44" w:rsidP="00241487">
            <w:pPr>
              <w:rPr>
                <w:sz w:val="20"/>
                <w:szCs w:val="20"/>
              </w:rPr>
            </w:pPr>
            <w:r w:rsidRPr="008C6E0A">
              <w:rPr>
                <w:sz w:val="20"/>
                <w:szCs w:val="20"/>
                <w:lang w:val="fr-FR"/>
              </w:rPr>
              <w:t>Conservation ex situ</w:t>
            </w:r>
          </w:p>
        </w:tc>
        <w:tc>
          <w:tcPr>
            <w:tcW w:w="2435" w:type="dxa"/>
            <w:shd w:val="clear" w:color="auto" w:fill="8EAADB" w:themeFill="accent5" w:themeFillTint="99"/>
          </w:tcPr>
          <w:p w:rsidR="00BC3F44" w:rsidRPr="008C6E0A" w:rsidRDefault="00BC3F44" w:rsidP="00241487">
            <w:pPr>
              <w:rPr>
                <w:sz w:val="20"/>
                <w:szCs w:val="20"/>
                <w:lang w:val="fr-FR"/>
              </w:rPr>
            </w:pPr>
            <w:r w:rsidRPr="008C6E0A">
              <w:rPr>
                <w:sz w:val="20"/>
                <w:szCs w:val="20"/>
                <w:lang w:val="fr-FR"/>
              </w:rPr>
              <w:t>Conservation in situ</w:t>
            </w:r>
          </w:p>
        </w:tc>
        <w:tc>
          <w:tcPr>
            <w:tcW w:w="2437" w:type="dxa"/>
            <w:shd w:val="clear" w:color="auto" w:fill="8EAADB" w:themeFill="accent5" w:themeFillTint="99"/>
          </w:tcPr>
          <w:p w:rsidR="00BC3F44" w:rsidRPr="008C6E0A" w:rsidRDefault="00BC3F44" w:rsidP="00241487">
            <w:pPr>
              <w:rPr>
                <w:sz w:val="20"/>
                <w:szCs w:val="20"/>
              </w:rPr>
            </w:pPr>
            <w:r w:rsidRPr="008C6E0A">
              <w:rPr>
                <w:sz w:val="20"/>
                <w:szCs w:val="20"/>
                <w:lang w:val="fr-FR"/>
              </w:rPr>
              <w:t>Gestion à la ferme</w:t>
            </w:r>
          </w:p>
        </w:tc>
        <w:tc>
          <w:tcPr>
            <w:tcW w:w="2428" w:type="dxa"/>
            <w:shd w:val="clear" w:color="auto" w:fill="8EAADB" w:themeFill="accent5" w:themeFillTint="99"/>
          </w:tcPr>
          <w:p w:rsidR="00BC3F44" w:rsidRPr="008C6E0A" w:rsidRDefault="008C6E0A" w:rsidP="00241487">
            <w:pPr>
              <w:rPr>
                <w:sz w:val="20"/>
                <w:szCs w:val="20"/>
                <w:lang w:val="fr-FR"/>
              </w:rPr>
            </w:pPr>
            <w:r w:rsidRPr="008C6E0A">
              <w:rPr>
                <w:sz w:val="20"/>
                <w:szCs w:val="20"/>
                <w:lang w:val="fr-FR"/>
              </w:rPr>
              <w:t>Amélioration des plantes et</w:t>
            </w:r>
            <w:r w:rsidR="00BC3F44" w:rsidRPr="008C6E0A">
              <w:rPr>
                <w:sz w:val="20"/>
                <w:szCs w:val="20"/>
                <w:lang w:val="fr-FR"/>
              </w:rPr>
              <w:t xml:space="preserve"> utilisation durable</w:t>
            </w:r>
            <w:r w:rsidR="00F52966">
              <w:rPr>
                <w:sz w:val="20"/>
                <w:szCs w:val="20"/>
                <w:lang w:val="fr-FR"/>
              </w:rPr>
              <w:t xml:space="preserve"> des ressources</w:t>
            </w:r>
          </w:p>
        </w:tc>
      </w:tr>
      <w:tr w:rsidR="00BC3F44" w:rsidRPr="00241487" w:rsidTr="001176DA">
        <w:tc>
          <w:tcPr>
            <w:tcW w:w="2436" w:type="dxa"/>
            <w:shd w:val="clear" w:color="auto" w:fill="FFFFFF" w:themeFill="background1"/>
          </w:tcPr>
          <w:p w:rsidR="00BC3F44" w:rsidRPr="008C6E0A" w:rsidRDefault="00BC3F44" w:rsidP="00241487">
            <w:pPr>
              <w:jc w:val="both"/>
              <w:rPr>
                <w:lang w:val="fr-FR"/>
              </w:rPr>
            </w:pPr>
          </w:p>
          <w:p w:rsidR="00BC3F44" w:rsidRPr="008C6E0A" w:rsidRDefault="00BC3F44" w:rsidP="00241487">
            <w:pPr>
              <w:jc w:val="both"/>
              <w:rPr>
                <w:lang w:val="fr-FR"/>
              </w:rPr>
            </w:pPr>
          </w:p>
          <w:p w:rsidR="00BC3F44" w:rsidRPr="008C6E0A" w:rsidRDefault="00BC3F44" w:rsidP="00241487">
            <w:pPr>
              <w:jc w:val="both"/>
              <w:rPr>
                <w:lang w:val="fr-FR"/>
              </w:rPr>
            </w:pPr>
          </w:p>
        </w:tc>
        <w:tc>
          <w:tcPr>
            <w:tcW w:w="2435" w:type="dxa"/>
            <w:shd w:val="clear" w:color="auto" w:fill="FFFFFF" w:themeFill="background1"/>
          </w:tcPr>
          <w:p w:rsidR="00BC3F44" w:rsidRPr="008C6E0A" w:rsidRDefault="00BC3F44" w:rsidP="00241487">
            <w:pPr>
              <w:jc w:val="both"/>
              <w:rPr>
                <w:lang w:val="fr-FR"/>
              </w:rPr>
            </w:pPr>
          </w:p>
        </w:tc>
        <w:tc>
          <w:tcPr>
            <w:tcW w:w="2437" w:type="dxa"/>
            <w:shd w:val="clear" w:color="auto" w:fill="FFFFFF" w:themeFill="background1"/>
          </w:tcPr>
          <w:p w:rsidR="00BC3F44" w:rsidRPr="008C6E0A" w:rsidRDefault="00BC3F44" w:rsidP="00241487">
            <w:pPr>
              <w:jc w:val="both"/>
              <w:rPr>
                <w:lang w:val="fr-FR"/>
              </w:rPr>
            </w:pPr>
          </w:p>
        </w:tc>
        <w:tc>
          <w:tcPr>
            <w:tcW w:w="2428" w:type="dxa"/>
            <w:shd w:val="clear" w:color="auto" w:fill="FFFFFF" w:themeFill="background1"/>
          </w:tcPr>
          <w:p w:rsidR="00BC3F44" w:rsidRPr="008C6E0A" w:rsidRDefault="00BC3F44" w:rsidP="00241487">
            <w:pPr>
              <w:jc w:val="both"/>
              <w:rPr>
                <w:lang w:val="fr-FR"/>
              </w:rPr>
            </w:pPr>
          </w:p>
        </w:tc>
      </w:tr>
    </w:tbl>
    <w:p w:rsidR="00BC3F44" w:rsidRDefault="00BC3F44" w:rsidP="00241487">
      <w:pPr>
        <w:rPr>
          <w:sz w:val="24"/>
          <w:szCs w:val="24"/>
          <w:lang w:val="fr-FR" w:bidi="ar-S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C3F44" w:rsidRPr="00C31516" w:rsidTr="001176DA">
        <w:trPr>
          <w:trHeight w:val="1387"/>
        </w:trPr>
        <w:tc>
          <w:tcPr>
            <w:tcW w:w="9736" w:type="dxa"/>
          </w:tcPr>
          <w:p w:rsidR="00BC3F44" w:rsidRPr="00C31516" w:rsidRDefault="00BC3F44" w:rsidP="00241487">
            <w:pPr>
              <w:rPr>
                <w:lang w:val="fr-FR"/>
              </w:rPr>
            </w:pPr>
            <w:r w:rsidRPr="00C31516">
              <w:rPr>
                <w:lang w:val="fr-FR"/>
              </w:rPr>
              <w:t xml:space="preserve">Autres commentaires: </w:t>
            </w:r>
          </w:p>
        </w:tc>
      </w:tr>
    </w:tbl>
    <w:p w:rsidR="00BC3F44" w:rsidRDefault="00BC3F44" w:rsidP="00241487">
      <w:pPr>
        <w:rPr>
          <w:sz w:val="24"/>
          <w:szCs w:val="24"/>
          <w:lang w:val="fr-FR" w:bidi="ar-SY"/>
        </w:rPr>
      </w:pPr>
    </w:p>
    <w:p w:rsidR="001B100E" w:rsidRPr="00963FBB" w:rsidRDefault="001B100E" w:rsidP="00963FBB">
      <w:pPr>
        <w:pStyle w:val="ListParagraph"/>
        <w:numPr>
          <w:ilvl w:val="0"/>
          <w:numId w:val="20"/>
        </w:numPr>
        <w:ind w:left="0" w:firstLine="360"/>
        <w:rPr>
          <w:rFonts w:ascii="Cambria" w:hAnsi="Cambria"/>
          <w:b/>
          <w:color w:val="2E74B5" w:themeColor="accent1" w:themeShade="BF"/>
          <w:lang w:val="fr-FR" w:bidi="ar-SY"/>
        </w:rPr>
      </w:pPr>
      <w:r w:rsidRPr="00963FBB">
        <w:rPr>
          <w:rFonts w:ascii="Cambria" w:hAnsi="Cambria"/>
          <w:b/>
          <w:color w:val="2E74B5" w:themeColor="accent1" w:themeShade="BF"/>
          <w:lang w:val="fr-FR" w:bidi="ar-SY"/>
        </w:rPr>
        <w:t>Autres domaines d’application du Traité international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324"/>
        <w:gridCol w:w="1396"/>
        <w:gridCol w:w="1635"/>
        <w:gridCol w:w="1379"/>
        <w:gridCol w:w="1346"/>
        <w:gridCol w:w="1285"/>
        <w:gridCol w:w="1440"/>
      </w:tblGrid>
      <w:tr w:rsidR="00F52966" w:rsidTr="007B4A6A">
        <w:tc>
          <w:tcPr>
            <w:tcW w:w="1324" w:type="dxa"/>
            <w:shd w:val="clear" w:color="auto" w:fill="8EAADB" w:themeFill="accent5" w:themeFillTint="99"/>
          </w:tcPr>
          <w:p w:rsidR="00D53FB4" w:rsidRPr="00D53FB4" w:rsidRDefault="00D53FB4" w:rsidP="00241487">
            <w:pPr>
              <w:jc w:val="center"/>
              <w:rPr>
                <w:sz w:val="18"/>
                <w:szCs w:val="18"/>
                <w:lang w:val="fr-FR"/>
              </w:rPr>
            </w:pPr>
            <w:r w:rsidRPr="00D53FB4">
              <w:rPr>
                <w:sz w:val="18"/>
                <w:szCs w:val="18"/>
                <w:lang w:val="fr-FR"/>
              </w:rPr>
              <w:t>Système multilatéral</w:t>
            </w:r>
          </w:p>
        </w:tc>
        <w:tc>
          <w:tcPr>
            <w:tcW w:w="1396" w:type="dxa"/>
            <w:shd w:val="clear" w:color="auto" w:fill="8EAADB" w:themeFill="accent5" w:themeFillTint="99"/>
          </w:tcPr>
          <w:p w:rsidR="00D53FB4" w:rsidRPr="00D53FB4" w:rsidRDefault="00D53FB4" w:rsidP="00241487">
            <w:pPr>
              <w:jc w:val="center"/>
              <w:rPr>
                <w:sz w:val="18"/>
                <w:szCs w:val="18"/>
                <w:lang w:val="fr-FR"/>
              </w:rPr>
            </w:pPr>
            <w:r w:rsidRPr="00D53FB4">
              <w:rPr>
                <w:sz w:val="18"/>
                <w:szCs w:val="18"/>
                <w:lang w:val="fr-FR"/>
              </w:rPr>
              <w:t>Transfert de technologie</w:t>
            </w:r>
          </w:p>
        </w:tc>
        <w:tc>
          <w:tcPr>
            <w:tcW w:w="1635" w:type="dxa"/>
            <w:shd w:val="clear" w:color="auto" w:fill="8EAADB" w:themeFill="accent5" w:themeFillTint="99"/>
          </w:tcPr>
          <w:p w:rsidR="00D53FB4" w:rsidRPr="00D53FB4" w:rsidRDefault="00D53FB4" w:rsidP="00241487">
            <w:pPr>
              <w:jc w:val="center"/>
              <w:rPr>
                <w:sz w:val="18"/>
                <w:szCs w:val="18"/>
                <w:lang w:val="fr-FR"/>
              </w:rPr>
            </w:pPr>
            <w:r w:rsidRPr="00D53FB4">
              <w:rPr>
                <w:sz w:val="18"/>
                <w:szCs w:val="18"/>
                <w:lang w:val="fr-FR"/>
              </w:rPr>
              <w:t>Systèmes d’information</w:t>
            </w:r>
          </w:p>
        </w:tc>
        <w:tc>
          <w:tcPr>
            <w:tcW w:w="1379" w:type="dxa"/>
            <w:shd w:val="clear" w:color="auto" w:fill="8EAADB" w:themeFill="accent5" w:themeFillTint="99"/>
          </w:tcPr>
          <w:p w:rsidR="00D53FB4" w:rsidRPr="00D53FB4" w:rsidRDefault="00D53FB4" w:rsidP="00241487">
            <w:pPr>
              <w:jc w:val="center"/>
              <w:rPr>
                <w:sz w:val="18"/>
                <w:szCs w:val="18"/>
                <w:lang w:val="fr-FR"/>
              </w:rPr>
            </w:pPr>
            <w:r w:rsidRPr="00D53FB4">
              <w:rPr>
                <w:sz w:val="18"/>
                <w:szCs w:val="18"/>
                <w:lang w:val="fr-FR"/>
              </w:rPr>
              <w:t xml:space="preserve">Renforcement des capacités </w:t>
            </w:r>
          </w:p>
        </w:tc>
        <w:tc>
          <w:tcPr>
            <w:tcW w:w="1346" w:type="dxa"/>
            <w:shd w:val="clear" w:color="auto" w:fill="8EAADB" w:themeFill="accent5" w:themeFillTint="99"/>
          </w:tcPr>
          <w:p w:rsidR="00D53FB4" w:rsidRPr="00D53FB4" w:rsidRDefault="00D53FB4" w:rsidP="00241487">
            <w:pPr>
              <w:jc w:val="center"/>
              <w:rPr>
                <w:sz w:val="18"/>
                <w:szCs w:val="18"/>
                <w:lang w:val="fr-FR"/>
              </w:rPr>
            </w:pPr>
            <w:r w:rsidRPr="00D53FB4">
              <w:rPr>
                <w:sz w:val="18"/>
                <w:szCs w:val="18"/>
                <w:lang w:val="fr-FR"/>
              </w:rPr>
              <w:t>Système mondial d’information</w:t>
            </w:r>
          </w:p>
        </w:tc>
        <w:tc>
          <w:tcPr>
            <w:tcW w:w="1285" w:type="dxa"/>
            <w:shd w:val="clear" w:color="auto" w:fill="8EAADB" w:themeFill="accent5" w:themeFillTint="99"/>
          </w:tcPr>
          <w:p w:rsidR="00D53FB4" w:rsidRPr="00D53FB4" w:rsidRDefault="00D53FB4" w:rsidP="00241487">
            <w:pPr>
              <w:jc w:val="center"/>
              <w:rPr>
                <w:sz w:val="18"/>
                <w:szCs w:val="18"/>
                <w:lang w:val="fr-FR"/>
              </w:rPr>
            </w:pPr>
            <w:r w:rsidRPr="00D53FB4">
              <w:rPr>
                <w:sz w:val="18"/>
                <w:szCs w:val="18"/>
                <w:lang w:val="fr-FR"/>
              </w:rPr>
              <w:t>Droits des agriculteurs</w:t>
            </w:r>
          </w:p>
        </w:tc>
        <w:tc>
          <w:tcPr>
            <w:tcW w:w="1440" w:type="dxa"/>
            <w:shd w:val="clear" w:color="auto" w:fill="8EAADB" w:themeFill="accent5" w:themeFillTint="99"/>
          </w:tcPr>
          <w:p w:rsidR="00D53FB4" w:rsidRPr="00D53FB4" w:rsidRDefault="00D53FB4" w:rsidP="00241487">
            <w:pPr>
              <w:jc w:val="center"/>
              <w:rPr>
                <w:sz w:val="18"/>
                <w:szCs w:val="18"/>
                <w:lang w:val="fr-FR"/>
              </w:rPr>
            </w:pPr>
            <w:r w:rsidRPr="00D53FB4">
              <w:rPr>
                <w:sz w:val="18"/>
                <w:szCs w:val="18"/>
                <w:lang w:val="fr-FR"/>
              </w:rPr>
              <w:t>Élaboration des politiques</w:t>
            </w:r>
          </w:p>
        </w:tc>
      </w:tr>
      <w:tr w:rsidR="00F52966" w:rsidRPr="00241487" w:rsidTr="007B4A6A">
        <w:tc>
          <w:tcPr>
            <w:tcW w:w="1324" w:type="dxa"/>
          </w:tcPr>
          <w:p w:rsidR="00D53FB4" w:rsidRPr="00D53FB4" w:rsidRDefault="00D53FB4" w:rsidP="00241487">
            <w:pPr>
              <w:rPr>
                <w:sz w:val="18"/>
                <w:szCs w:val="18"/>
                <w:lang w:val="fr-FR"/>
              </w:rPr>
            </w:pPr>
            <w:r w:rsidRPr="00D53FB4">
              <w:rPr>
                <w:sz w:val="18"/>
                <w:szCs w:val="18"/>
                <w:lang w:val="fr-FR"/>
              </w:rPr>
              <w:t xml:space="preserve">Mesures visant à </w:t>
            </w:r>
            <w:r>
              <w:rPr>
                <w:sz w:val="18"/>
                <w:szCs w:val="18"/>
                <w:lang w:val="fr-FR"/>
              </w:rPr>
              <w:t>favoriser</w:t>
            </w:r>
            <w:r w:rsidRPr="00D53FB4">
              <w:rPr>
                <w:sz w:val="18"/>
                <w:szCs w:val="18"/>
                <w:lang w:val="fr-FR"/>
              </w:rPr>
              <w:t xml:space="preserve"> la conservation et la disponibilité des RPGAA par le biais du Système multilatéral </w:t>
            </w:r>
            <w:r w:rsidR="00F52966">
              <w:rPr>
                <w:sz w:val="18"/>
                <w:szCs w:val="18"/>
                <w:lang w:val="fr-FR"/>
              </w:rPr>
              <w:t xml:space="preserve">d’accès  et de partage des avantages  </w:t>
            </w:r>
            <w:r w:rsidRPr="00D53FB4">
              <w:rPr>
                <w:sz w:val="18"/>
                <w:szCs w:val="18"/>
                <w:lang w:val="fr-FR"/>
              </w:rPr>
              <w:t>du Traité</w:t>
            </w:r>
            <w:r w:rsidR="00F52966">
              <w:rPr>
                <w:sz w:val="18"/>
                <w:szCs w:val="18"/>
                <w:lang w:val="fr-FR"/>
              </w:rPr>
              <w:t xml:space="preserve"> international</w:t>
            </w:r>
            <w:r w:rsidRPr="00D53FB4">
              <w:rPr>
                <w:sz w:val="18"/>
                <w:szCs w:val="18"/>
                <w:lang w:val="fr-FR"/>
              </w:rPr>
              <w:t>.</w:t>
            </w:r>
          </w:p>
        </w:tc>
        <w:tc>
          <w:tcPr>
            <w:tcW w:w="1396" w:type="dxa"/>
          </w:tcPr>
          <w:p w:rsidR="00D53FB4" w:rsidRPr="00BB07B0" w:rsidRDefault="00BB07B0" w:rsidP="00241487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Fournir ou faciliter</w:t>
            </w:r>
            <w:r w:rsidRPr="00BB07B0">
              <w:rPr>
                <w:sz w:val="18"/>
                <w:szCs w:val="18"/>
                <w:lang w:val="fr-FR"/>
              </w:rPr>
              <w:t xml:space="preserve"> l'accès aux technologies </w:t>
            </w:r>
            <w:r>
              <w:rPr>
                <w:sz w:val="18"/>
                <w:szCs w:val="18"/>
                <w:lang w:val="fr-FR"/>
              </w:rPr>
              <w:t>aux fins de</w:t>
            </w:r>
            <w:r w:rsidRPr="00BB07B0">
              <w:rPr>
                <w:sz w:val="18"/>
                <w:szCs w:val="18"/>
                <w:lang w:val="fr-FR"/>
              </w:rPr>
              <w:t xml:space="preserve"> conservation, </w:t>
            </w:r>
            <w:r>
              <w:rPr>
                <w:sz w:val="18"/>
                <w:szCs w:val="18"/>
                <w:lang w:val="fr-FR"/>
              </w:rPr>
              <w:t>de caractérisation, d’évaluation et d</w:t>
            </w:r>
            <w:r w:rsidRPr="00BB07B0">
              <w:rPr>
                <w:sz w:val="18"/>
                <w:szCs w:val="18"/>
                <w:lang w:val="fr-FR"/>
              </w:rPr>
              <w:t>'utilisation des RPGAA.</w:t>
            </w:r>
          </w:p>
        </w:tc>
        <w:tc>
          <w:tcPr>
            <w:tcW w:w="1635" w:type="dxa"/>
          </w:tcPr>
          <w:p w:rsidR="00D53FB4" w:rsidRPr="00503AFB" w:rsidRDefault="00503AFB" w:rsidP="00241487">
            <w:pPr>
              <w:rPr>
                <w:sz w:val="18"/>
                <w:szCs w:val="18"/>
                <w:lang w:val="fr-FR"/>
              </w:rPr>
            </w:pPr>
            <w:r w:rsidRPr="00503AFB">
              <w:rPr>
                <w:sz w:val="18"/>
                <w:szCs w:val="18"/>
                <w:lang w:val="fr-FR"/>
              </w:rPr>
              <w:t xml:space="preserve">Systèmes d'information nationaux ou régionaux sur des questions scientifiques, techniques et environnementales relatives aux ressources </w:t>
            </w:r>
            <w:proofErr w:type="spellStart"/>
            <w:r w:rsidRPr="00503AFB">
              <w:rPr>
                <w:sz w:val="18"/>
                <w:szCs w:val="18"/>
                <w:lang w:val="fr-FR"/>
              </w:rPr>
              <w:t>phytogénétiques</w:t>
            </w:r>
            <w:proofErr w:type="spellEnd"/>
            <w:r w:rsidRPr="00503AFB">
              <w:rPr>
                <w:sz w:val="18"/>
                <w:szCs w:val="18"/>
                <w:lang w:val="fr-FR"/>
              </w:rPr>
              <w:t xml:space="preserve"> pour l'alimentation et l'agriculture.</w:t>
            </w:r>
          </w:p>
        </w:tc>
        <w:tc>
          <w:tcPr>
            <w:tcW w:w="1379" w:type="dxa"/>
          </w:tcPr>
          <w:p w:rsidR="00D53FB4" w:rsidRPr="001C2163" w:rsidRDefault="00F9225F" w:rsidP="00241487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Améliorer </w:t>
            </w:r>
            <w:r w:rsidR="001C2163" w:rsidRPr="001C2163">
              <w:rPr>
                <w:sz w:val="18"/>
                <w:szCs w:val="18"/>
                <w:lang w:val="fr-FR"/>
              </w:rPr>
              <w:t xml:space="preserve">l'enseignement et la formation scientifiques et techniques en matière de RPGAA, recherche scientifique et autres mesures visant à renforcer les capacités </w:t>
            </w:r>
            <w:r w:rsidR="00F52966">
              <w:rPr>
                <w:sz w:val="18"/>
                <w:szCs w:val="18"/>
                <w:lang w:val="fr-FR"/>
              </w:rPr>
              <w:t>pour l</w:t>
            </w:r>
            <w:r w:rsidR="001C2163" w:rsidRPr="001C2163">
              <w:rPr>
                <w:sz w:val="18"/>
                <w:szCs w:val="18"/>
                <w:lang w:val="fr-FR"/>
              </w:rPr>
              <w:t>'application du Traité</w:t>
            </w:r>
            <w:r w:rsidR="00F52966">
              <w:rPr>
                <w:sz w:val="18"/>
                <w:szCs w:val="18"/>
                <w:lang w:val="fr-FR"/>
              </w:rPr>
              <w:t xml:space="preserve"> international.</w:t>
            </w:r>
          </w:p>
        </w:tc>
        <w:tc>
          <w:tcPr>
            <w:tcW w:w="1346" w:type="dxa"/>
          </w:tcPr>
          <w:p w:rsidR="00D53FB4" w:rsidRPr="001C2163" w:rsidRDefault="004777D9" w:rsidP="00241487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Développer </w:t>
            </w:r>
            <w:r w:rsidR="001C2163" w:rsidRPr="001C2163">
              <w:rPr>
                <w:sz w:val="18"/>
                <w:szCs w:val="18"/>
                <w:lang w:val="fr-FR"/>
              </w:rPr>
              <w:t>et renforce</w:t>
            </w:r>
            <w:r w:rsidR="001C2163">
              <w:rPr>
                <w:sz w:val="18"/>
                <w:szCs w:val="18"/>
                <w:lang w:val="fr-FR"/>
              </w:rPr>
              <w:t>r u</w:t>
            </w:r>
            <w:r w:rsidR="001C2163" w:rsidRPr="001C2163">
              <w:rPr>
                <w:sz w:val="18"/>
                <w:szCs w:val="18"/>
                <w:lang w:val="fr-FR"/>
              </w:rPr>
              <w:t xml:space="preserve">n </w:t>
            </w:r>
            <w:r w:rsidR="004D3BE2">
              <w:rPr>
                <w:sz w:val="18"/>
                <w:szCs w:val="18"/>
                <w:lang w:val="fr-FR"/>
              </w:rPr>
              <w:t>S</w:t>
            </w:r>
            <w:r w:rsidR="001C2163" w:rsidRPr="001C2163">
              <w:rPr>
                <w:sz w:val="18"/>
                <w:szCs w:val="18"/>
                <w:lang w:val="fr-FR"/>
              </w:rPr>
              <w:t xml:space="preserve">ystème </w:t>
            </w:r>
            <w:r w:rsidR="00F52966">
              <w:rPr>
                <w:sz w:val="18"/>
                <w:szCs w:val="18"/>
                <w:lang w:val="fr-FR"/>
              </w:rPr>
              <w:t xml:space="preserve">mondial </w:t>
            </w:r>
            <w:r w:rsidR="001C2163" w:rsidRPr="001C2163">
              <w:rPr>
                <w:sz w:val="18"/>
                <w:szCs w:val="18"/>
                <w:lang w:val="fr-FR"/>
              </w:rPr>
              <w:t>d’information destiné à faciliter l’échange d’informations sur la base des systèmes d’information existants</w:t>
            </w:r>
            <w:r w:rsidR="00F52966">
              <w:rPr>
                <w:sz w:val="18"/>
                <w:szCs w:val="18"/>
                <w:lang w:val="fr-FR"/>
              </w:rPr>
              <w:t>.</w:t>
            </w:r>
          </w:p>
        </w:tc>
        <w:tc>
          <w:tcPr>
            <w:tcW w:w="1285" w:type="dxa"/>
          </w:tcPr>
          <w:p w:rsidR="00D53FB4" w:rsidRPr="004777D9" w:rsidRDefault="004777D9" w:rsidP="00241487">
            <w:pPr>
              <w:rPr>
                <w:sz w:val="18"/>
                <w:szCs w:val="18"/>
                <w:lang w:val="fr-FR"/>
              </w:rPr>
            </w:pPr>
            <w:r w:rsidRPr="004777D9">
              <w:rPr>
                <w:sz w:val="18"/>
                <w:szCs w:val="18"/>
                <w:lang w:val="fr-FR"/>
              </w:rPr>
              <w:t xml:space="preserve">Reconnaître la contribution des agriculteurs et des peuples autochtones </w:t>
            </w:r>
            <w:r>
              <w:rPr>
                <w:sz w:val="18"/>
                <w:szCs w:val="18"/>
                <w:lang w:val="fr-FR"/>
              </w:rPr>
              <w:t xml:space="preserve">à l’amélioration, </w:t>
            </w:r>
            <w:r w:rsidRPr="004777D9">
              <w:rPr>
                <w:sz w:val="18"/>
                <w:szCs w:val="18"/>
                <w:lang w:val="fr-FR"/>
              </w:rPr>
              <w:t>et à la conservation des RPGAA dans les lois et les politiques nationales</w:t>
            </w:r>
            <w:r w:rsidR="00F52966">
              <w:rPr>
                <w:sz w:val="18"/>
                <w:szCs w:val="18"/>
                <w:lang w:val="fr-FR"/>
              </w:rPr>
              <w:t>.</w:t>
            </w:r>
          </w:p>
        </w:tc>
        <w:tc>
          <w:tcPr>
            <w:tcW w:w="1440" w:type="dxa"/>
          </w:tcPr>
          <w:p w:rsidR="00D53FB4" w:rsidRPr="004777D9" w:rsidRDefault="004777D9" w:rsidP="00241487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Élaborer </w:t>
            </w:r>
            <w:r w:rsidRPr="004777D9">
              <w:rPr>
                <w:sz w:val="18"/>
                <w:szCs w:val="18"/>
                <w:lang w:val="fr-FR"/>
              </w:rPr>
              <w:t>et renforce</w:t>
            </w:r>
            <w:r>
              <w:rPr>
                <w:sz w:val="18"/>
                <w:szCs w:val="18"/>
                <w:lang w:val="fr-FR"/>
              </w:rPr>
              <w:t>r l</w:t>
            </w:r>
            <w:r w:rsidRPr="004777D9">
              <w:rPr>
                <w:sz w:val="18"/>
                <w:szCs w:val="18"/>
                <w:lang w:val="fr-FR"/>
              </w:rPr>
              <w:t xml:space="preserve">es politiques pour </w:t>
            </w:r>
            <w:r w:rsidR="00F52966">
              <w:rPr>
                <w:sz w:val="18"/>
                <w:szCs w:val="18"/>
                <w:lang w:val="fr-FR"/>
              </w:rPr>
              <w:t>l’application</w:t>
            </w:r>
            <w:r w:rsidRPr="004777D9">
              <w:rPr>
                <w:sz w:val="18"/>
                <w:szCs w:val="18"/>
                <w:lang w:val="fr-FR"/>
              </w:rPr>
              <w:t xml:space="preserve"> du Traité</w:t>
            </w:r>
            <w:r w:rsidR="00F52966">
              <w:rPr>
                <w:sz w:val="18"/>
                <w:szCs w:val="18"/>
                <w:lang w:val="fr-FR"/>
              </w:rPr>
              <w:t xml:space="preserve"> international</w:t>
            </w:r>
            <w:r w:rsidRPr="004777D9">
              <w:rPr>
                <w:sz w:val="18"/>
                <w:szCs w:val="18"/>
                <w:lang w:val="fr-FR"/>
              </w:rPr>
              <w:t>.</w:t>
            </w:r>
          </w:p>
        </w:tc>
      </w:tr>
    </w:tbl>
    <w:p w:rsidR="00D53FB4" w:rsidRPr="00EE3A85" w:rsidRDefault="00D53FB4" w:rsidP="00241487">
      <w:pPr>
        <w:rPr>
          <w:sz w:val="24"/>
          <w:szCs w:val="24"/>
          <w:lang w:val="fr-FR" w:bidi="ar-SY"/>
        </w:rPr>
      </w:pPr>
    </w:p>
    <w:p w:rsidR="00E37EA1" w:rsidRDefault="00E37EA1" w:rsidP="00241487">
      <w:pPr>
        <w:rPr>
          <w:lang w:val="fr-FR" w:bidi="ar-SY"/>
        </w:rPr>
      </w:pPr>
      <w:r w:rsidRPr="00ED29EE">
        <w:rPr>
          <w:sz w:val="24"/>
          <w:szCs w:val="24"/>
          <w:lang w:val="fr-FR" w:bidi="ar-SY"/>
        </w:rPr>
        <w:t xml:space="preserve">2.3. </w:t>
      </w:r>
      <w:r w:rsidR="00241487">
        <w:rPr>
          <w:sz w:val="24"/>
          <w:szCs w:val="24"/>
          <w:lang w:val="fr-FR" w:bidi="ar-SY"/>
        </w:rPr>
        <w:tab/>
      </w:r>
      <w:r w:rsidR="00ED29EE" w:rsidRPr="00963FBB">
        <w:rPr>
          <w:lang w:val="fr-FR" w:bidi="ar-SY"/>
        </w:rPr>
        <w:t xml:space="preserve">Pourriez-vous donner une estimation du montant dépensé annuellement dans chacun des sept </w:t>
      </w:r>
      <w:r w:rsidR="00ED29EE" w:rsidRPr="00963FBB">
        <w:rPr>
          <w:b/>
          <w:bCs/>
          <w:lang w:val="fr-FR" w:bidi="ar-SY"/>
        </w:rPr>
        <w:t xml:space="preserve">autres domaines </w:t>
      </w:r>
      <w:r w:rsidR="00F85A14" w:rsidRPr="00963FBB">
        <w:rPr>
          <w:b/>
          <w:bCs/>
          <w:lang w:val="fr-FR" w:bidi="ar-SY"/>
        </w:rPr>
        <w:t>d’application</w:t>
      </w:r>
      <w:r w:rsidR="00ED29EE" w:rsidRPr="00963FBB">
        <w:rPr>
          <w:b/>
          <w:bCs/>
          <w:lang w:val="fr-FR" w:bidi="ar-SY"/>
        </w:rPr>
        <w:t xml:space="preserve"> du Traité</w:t>
      </w:r>
      <w:r w:rsidR="00ED29EE" w:rsidRPr="00963FBB">
        <w:rPr>
          <w:lang w:val="fr-FR" w:bidi="ar-SY"/>
        </w:rPr>
        <w:t xml:space="preserve"> (en millions </w:t>
      </w:r>
      <w:r w:rsidR="00F9225F" w:rsidRPr="00963FBB">
        <w:rPr>
          <w:lang w:val="fr-FR" w:bidi="ar-SY"/>
        </w:rPr>
        <w:t xml:space="preserve">de dollars américains </w:t>
      </w:r>
      <w:r w:rsidR="00ED29EE" w:rsidRPr="00963FBB">
        <w:rPr>
          <w:lang w:val="fr-FR" w:bidi="ar-SY"/>
        </w:rPr>
        <w:t>ou en pourcentage du montant total dépensé)?</w:t>
      </w:r>
    </w:p>
    <w:p w:rsidR="00963FBB" w:rsidRDefault="00963FBB" w:rsidP="00241487">
      <w:pPr>
        <w:rPr>
          <w:lang w:val="fr-FR" w:bidi="ar-SY"/>
        </w:rPr>
      </w:pPr>
    </w:p>
    <w:p w:rsidR="00963FBB" w:rsidRDefault="00963FBB" w:rsidP="00241487">
      <w:pPr>
        <w:rPr>
          <w:lang w:val="fr-FR" w:bidi="ar-SY"/>
        </w:rPr>
      </w:pPr>
    </w:p>
    <w:p w:rsidR="00963FBB" w:rsidRDefault="00963FBB" w:rsidP="00241487">
      <w:pPr>
        <w:rPr>
          <w:lang w:val="fr-FR" w:bidi="ar-SY"/>
        </w:rPr>
      </w:pPr>
    </w:p>
    <w:p w:rsidR="00963FBB" w:rsidRDefault="00963FBB" w:rsidP="00241487">
      <w:pPr>
        <w:rPr>
          <w:lang w:val="fr-FR" w:bidi="ar-SY"/>
        </w:rPr>
      </w:pPr>
    </w:p>
    <w:p w:rsidR="00963FBB" w:rsidRDefault="00963FBB" w:rsidP="00241487">
      <w:pPr>
        <w:rPr>
          <w:lang w:val="fr-FR" w:bidi="ar-SY"/>
        </w:rPr>
      </w:pPr>
    </w:p>
    <w:p w:rsidR="00963FBB" w:rsidRDefault="00963FBB" w:rsidP="00241487">
      <w:pPr>
        <w:rPr>
          <w:sz w:val="24"/>
          <w:szCs w:val="24"/>
          <w:lang w:val="fr-FR" w:bidi="ar-SY"/>
        </w:rPr>
      </w:pPr>
    </w:p>
    <w:p w:rsidR="00F85A14" w:rsidRDefault="00F85A14" w:rsidP="00241487">
      <w:pPr>
        <w:rPr>
          <w:sz w:val="24"/>
          <w:szCs w:val="24"/>
          <w:lang w:val="fr-FR" w:bidi="ar-SY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446"/>
        <w:gridCol w:w="1446"/>
        <w:gridCol w:w="1406"/>
        <w:gridCol w:w="1419"/>
        <w:gridCol w:w="1399"/>
        <w:gridCol w:w="1249"/>
        <w:gridCol w:w="1440"/>
      </w:tblGrid>
      <w:tr w:rsidR="00F85A14" w:rsidRPr="00274BEF" w:rsidTr="007B4A6A">
        <w:tc>
          <w:tcPr>
            <w:tcW w:w="1446" w:type="dxa"/>
            <w:shd w:val="clear" w:color="auto" w:fill="8EAADB" w:themeFill="accent5" w:themeFillTint="99"/>
          </w:tcPr>
          <w:p w:rsidR="00F85A14" w:rsidRPr="00274BEF" w:rsidRDefault="00F85A14" w:rsidP="00241487">
            <w:pPr>
              <w:jc w:val="center"/>
              <w:rPr>
                <w:sz w:val="20"/>
                <w:szCs w:val="20"/>
              </w:rPr>
            </w:pPr>
            <w:r w:rsidRPr="00D53FB4">
              <w:rPr>
                <w:sz w:val="18"/>
                <w:szCs w:val="18"/>
                <w:lang w:val="fr-FR"/>
              </w:rPr>
              <w:lastRenderedPageBreak/>
              <w:t>Système multilatéral</w:t>
            </w:r>
          </w:p>
        </w:tc>
        <w:tc>
          <w:tcPr>
            <w:tcW w:w="1446" w:type="dxa"/>
            <w:shd w:val="clear" w:color="auto" w:fill="8EAADB" w:themeFill="accent5" w:themeFillTint="99"/>
          </w:tcPr>
          <w:p w:rsidR="00F85A14" w:rsidRPr="00274BEF" w:rsidRDefault="00F85A14" w:rsidP="00241487">
            <w:pPr>
              <w:jc w:val="center"/>
              <w:rPr>
                <w:sz w:val="20"/>
                <w:szCs w:val="20"/>
              </w:rPr>
            </w:pPr>
            <w:r w:rsidRPr="00D53FB4">
              <w:rPr>
                <w:sz w:val="18"/>
                <w:szCs w:val="18"/>
                <w:lang w:val="fr-FR"/>
              </w:rPr>
              <w:t>Transfert de technologie</w:t>
            </w:r>
          </w:p>
        </w:tc>
        <w:tc>
          <w:tcPr>
            <w:tcW w:w="1406" w:type="dxa"/>
            <w:shd w:val="clear" w:color="auto" w:fill="8EAADB" w:themeFill="accent5" w:themeFillTint="99"/>
          </w:tcPr>
          <w:p w:rsidR="00F85A14" w:rsidRPr="00274BEF" w:rsidRDefault="00F85A14" w:rsidP="00241487">
            <w:pPr>
              <w:jc w:val="center"/>
              <w:rPr>
                <w:sz w:val="20"/>
                <w:szCs w:val="20"/>
              </w:rPr>
            </w:pPr>
            <w:r w:rsidRPr="00D53FB4">
              <w:rPr>
                <w:sz w:val="18"/>
                <w:szCs w:val="18"/>
                <w:lang w:val="fr-FR"/>
              </w:rPr>
              <w:t>Systèmes d’information</w:t>
            </w:r>
          </w:p>
        </w:tc>
        <w:tc>
          <w:tcPr>
            <w:tcW w:w="1419" w:type="dxa"/>
            <w:shd w:val="clear" w:color="auto" w:fill="8EAADB" w:themeFill="accent5" w:themeFillTint="99"/>
          </w:tcPr>
          <w:p w:rsidR="00F85A14" w:rsidRPr="00274BEF" w:rsidRDefault="00F85A14" w:rsidP="00241487">
            <w:pPr>
              <w:jc w:val="center"/>
              <w:rPr>
                <w:sz w:val="20"/>
                <w:szCs w:val="20"/>
              </w:rPr>
            </w:pPr>
            <w:r w:rsidRPr="00D53FB4">
              <w:rPr>
                <w:sz w:val="18"/>
                <w:szCs w:val="18"/>
                <w:lang w:val="fr-FR"/>
              </w:rPr>
              <w:t>Renforcement des capacités</w:t>
            </w:r>
          </w:p>
        </w:tc>
        <w:tc>
          <w:tcPr>
            <w:tcW w:w="1399" w:type="dxa"/>
            <w:shd w:val="clear" w:color="auto" w:fill="8EAADB" w:themeFill="accent5" w:themeFillTint="99"/>
          </w:tcPr>
          <w:p w:rsidR="00F85A14" w:rsidRPr="00274BEF" w:rsidRDefault="00F85A14" w:rsidP="00241487">
            <w:pPr>
              <w:jc w:val="center"/>
              <w:rPr>
                <w:sz w:val="20"/>
                <w:szCs w:val="20"/>
              </w:rPr>
            </w:pPr>
            <w:r w:rsidRPr="00D53FB4">
              <w:rPr>
                <w:sz w:val="18"/>
                <w:szCs w:val="18"/>
                <w:lang w:val="fr-FR"/>
              </w:rPr>
              <w:t>Système mondial d’information</w:t>
            </w:r>
          </w:p>
        </w:tc>
        <w:tc>
          <w:tcPr>
            <w:tcW w:w="1249" w:type="dxa"/>
            <w:shd w:val="clear" w:color="auto" w:fill="8EAADB" w:themeFill="accent5" w:themeFillTint="99"/>
          </w:tcPr>
          <w:p w:rsidR="00F85A14" w:rsidRPr="00274BEF" w:rsidRDefault="00F85A14" w:rsidP="00241487">
            <w:pPr>
              <w:jc w:val="center"/>
              <w:rPr>
                <w:sz w:val="20"/>
                <w:szCs w:val="20"/>
              </w:rPr>
            </w:pPr>
            <w:r w:rsidRPr="00D53FB4">
              <w:rPr>
                <w:sz w:val="18"/>
                <w:szCs w:val="18"/>
                <w:lang w:val="fr-FR"/>
              </w:rPr>
              <w:t>Droits des agriculteurs</w:t>
            </w:r>
          </w:p>
        </w:tc>
        <w:tc>
          <w:tcPr>
            <w:tcW w:w="1440" w:type="dxa"/>
            <w:shd w:val="clear" w:color="auto" w:fill="8EAADB" w:themeFill="accent5" w:themeFillTint="99"/>
          </w:tcPr>
          <w:p w:rsidR="00F85A14" w:rsidRPr="00D53FB4" w:rsidRDefault="00F85A14" w:rsidP="00241487">
            <w:pPr>
              <w:jc w:val="center"/>
              <w:rPr>
                <w:sz w:val="18"/>
                <w:szCs w:val="18"/>
                <w:lang w:val="fr-FR"/>
              </w:rPr>
            </w:pPr>
            <w:r w:rsidRPr="00D53FB4">
              <w:rPr>
                <w:sz w:val="18"/>
                <w:szCs w:val="18"/>
                <w:lang w:val="fr-FR"/>
              </w:rPr>
              <w:t>Élaboration des politiques</w:t>
            </w:r>
          </w:p>
        </w:tc>
      </w:tr>
      <w:tr w:rsidR="00F85A14" w:rsidRPr="00FF65CA" w:rsidTr="007B4A6A">
        <w:tc>
          <w:tcPr>
            <w:tcW w:w="1446" w:type="dxa"/>
          </w:tcPr>
          <w:p w:rsidR="00F85A14" w:rsidRPr="00FF65CA" w:rsidRDefault="00F85A14" w:rsidP="00241487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F85A14" w:rsidRDefault="00F85A14" w:rsidP="00241487">
            <w:pPr>
              <w:rPr>
                <w:sz w:val="18"/>
                <w:szCs w:val="18"/>
              </w:rPr>
            </w:pPr>
          </w:p>
          <w:p w:rsidR="00F85A14" w:rsidRDefault="00F85A14" w:rsidP="00241487">
            <w:pPr>
              <w:rPr>
                <w:sz w:val="18"/>
                <w:szCs w:val="18"/>
              </w:rPr>
            </w:pPr>
          </w:p>
          <w:p w:rsidR="00F85A14" w:rsidRPr="00B04F5A" w:rsidRDefault="00F85A14" w:rsidP="00241487">
            <w:pPr>
              <w:rPr>
                <w:sz w:val="18"/>
                <w:szCs w:val="18"/>
              </w:rPr>
            </w:pPr>
          </w:p>
        </w:tc>
        <w:tc>
          <w:tcPr>
            <w:tcW w:w="1406" w:type="dxa"/>
          </w:tcPr>
          <w:p w:rsidR="00F85A14" w:rsidRPr="00FF65CA" w:rsidRDefault="00F85A14" w:rsidP="00241487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F85A14" w:rsidRPr="00B04F5A" w:rsidRDefault="00F85A14" w:rsidP="00241487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</w:tcPr>
          <w:p w:rsidR="00F85A14" w:rsidRPr="00B04F5A" w:rsidRDefault="00F85A14" w:rsidP="00241487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:rsidR="00F85A14" w:rsidRPr="00B04F5A" w:rsidRDefault="00F85A14" w:rsidP="0024148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F85A14" w:rsidRPr="00FF65CA" w:rsidRDefault="00F85A14" w:rsidP="00241487">
            <w:pPr>
              <w:rPr>
                <w:sz w:val="20"/>
                <w:szCs w:val="20"/>
              </w:rPr>
            </w:pPr>
          </w:p>
        </w:tc>
      </w:tr>
    </w:tbl>
    <w:p w:rsidR="00F85A14" w:rsidRDefault="00F85A14" w:rsidP="00241487">
      <w:pPr>
        <w:rPr>
          <w:sz w:val="24"/>
          <w:szCs w:val="24"/>
          <w:lang w:val="fr-FR" w:bidi="ar-S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5"/>
      </w:tblGrid>
      <w:tr w:rsidR="0083740E" w:rsidRPr="00C31516" w:rsidTr="007B4A6A">
        <w:trPr>
          <w:trHeight w:val="1387"/>
        </w:trPr>
        <w:tc>
          <w:tcPr>
            <w:tcW w:w="9805" w:type="dxa"/>
          </w:tcPr>
          <w:p w:rsidR="0083740E" w:rsidRPr="00C31516" w:rsidRDefault="0083740E" w:rsidP="00241487">
            <w:pPr>
              <w:rPr>
                <w:lang w:val="fr-FR"/>
              </w:rPr>
            </w:pPr>
            <w:r w:rsidRPr="00C31516">
              <w:rPr>
                <w:lang w:val="fr-FR"/>
              </w:rPr>
              <w:t xml:space="preserve">Autres commentaires: </w:t>
            </w:r>
          </w:p>
        </w:tc>
      </w:tr>
    </w:tbl>
    <w:p w:rsidR="009237AB" w:rsidRDefault="009237AB" w:rsidP="00241487">
      <w:pPr>
        <w:rPr>
          <w:sz w:val="24"/>
          <w:szCs w:val="24"/>
          <w:lang w:val="fr-FR" w:bidi="ar-SY"/>
        </w:rPr>
      </w:pPr>
    </w:p>
    <w:p w:rsidR="003A3D65" w:rsidRPr="00963FBB" w:rsidRDefault="009846F0" w:rsidP="00963FBB">
      <w:pPr>
        <w:pStyle w:val="ListParagraph"/>
        <w:numPr>
          <w:ilvl w:val="0"/>
          <w:numId w:val="19"/>
        </w:numPr>
        <w:ind w:left="360"/>
        <w:rPr>
          <w:rFonts w:ascii="Cambria" w:hAnsi="Cambria"/>
          <w:b/>
          <w:color w:val="2E74B5" w:themeColor="accent1" w:themeShade="BF"/>
          <w:sz w:val="26"/>
          <w:szCs w:val="26"/>
          <w:lang w:val="fr-FR" w:bidi="ar-SY"/>
        </w:rPr>
      </w:pPr>
      <w:r w:rsidRPr="00963FBB">
        <w:rPr>
          <w:rFonts w:ascii="Cambria" w:hAnsi="Cambria"/>
          <w:b/>
          <w:color w:val="2E74B5" w:themeColor="accent1" w:themeShade="BF"/>
          <w:sz w:val="26"/>
          <w:szCs w:val="26"/>
          <w:lang w:val="fr-FR" w:bidi="ar-SY"/>
        </w:rPr>
        <w:t>Données nationales et établissement des rapports sur les RPGAA</w:t>
      </w:r>
    </w:p>
    <w:p w:rsidR="00AD2A93" w:rsidRDefault="00AD2A93" w:rsidP="000006E6">
      <w:pPr>
        <w:rPr>
          <w:sz w:val="24"/>
          <w:szCs w:val="24"/>
          <w:lang w:val="fr-FR" w:bidi="ar-SY"/>
        </w:rPr>
      </w:pPr>
      <w:r w:rsidRPr="00AD2A93">
        <w:rPr>
          <w:sz w:val="24"/>
          <w:szCs w:val="24"/>
          <w:lang w:val="fr-FR" w:bidi="ar-SY"/>
        </w:rPr>
        <w:t xml:space="preserve">3.1. </w:t>
      </w:r>
      <w:r w:rsidR="00EA42DC">
        <w:rPr>
          <w:sz w:val="24"/>
          <w:szCs w:val="24"/>
          <w:lang w:val="fr-FR" w:bidi="ar-SY"/>
        </w:rPr>
        <w:tab/>
      </w:r>
      <w:r w:rsidRPr="00963FBB">
        <w:rPr>
          <w:lang w:val="fr-FR" w:bidi="ar-SY"/>
        </w:rPr>
        <w:t xml:space="preserve">Comment peut-on </w:t>
      </w:r>
      <w:proofErr w:type="gramStart"/>
      <w:r w:rsidRPr="00963FBB">
        <w:rPr>
          <w:lang w:val="fr-FR" w:bidi="ar-SY"/>
        </w:rPr>
        <w:t xml:space="preserve">trouver </w:t>
      </w:r>
      <w:r w:rsidR="009B684E" w:rsidRPr="00963FBB">
        <w:rPr>
          <w:lang w:val="fr-FR" w:bidi="ar-SY"/>
        </w:rPr>
        <w:t xml:space="preserve"> de</w:t>
      </w:r>
      <w:proofErr w:type="gramEnd"/>
      <w:r w:rsidR="009B684E" w:rsidRPr="00963FBB">
        <w:rPr>
          <w:lang w:val="fr-FR" w:bidi="ar-SY"/>
        </w:rPr>
        <w:t xml:space="preserve"> plus amples </w:t>
      </w:r>
      <w:r w:rsidRPr="00963FBB">
        <w:rPr>
          <w:lang w:val="fr-FR" w:bidi="ar-SY"/>
        </w:rPr>
        <w:t xml:space="preserve">informations sur vos dépenses dans ces domaines concernant les RPGAA et le Traité international? Où se trouvent les données à ce sujet? Existe-t-il un système de </w:t>
      </w:r>
      <w:r w:rsidR="00D040CF" w:rsidRPr="00963FBB">
        <w:rPr>
          <w:lang w:val="fr-FR" w:bidi="ar-SY"/>
        </w:rPr>
        <w:t>présentation des rapports</w:t>
      </w:r>
      <w:r w:rsidRPr="00963FBB">
        <w:rPr>
          <w:lang w:val="fr-FR" w:bidi="ar-SY"/>
        </w:rPr>
        <w:t xml:space="preserve"> particulier? Qui est responsable de la documentation à cet égard avec </w:t>
      </w:r>
      <w:r w:rsidR="00D040CF" w:rsidRPr="00963FBB">
        <w:rPr>
          <w:lang w:val="fr-FR" w:bidi="ar-SY"/>
        </w:rPr>
        <w:t xml:space="preserve">qui </w:t>
      </w:r>
      <w:r w:rsidR="000006E6" w:rsidRPr="00963FBB">
        <w:rPr>
          <w:lang w:val="fr-FR" w:bidi="ar-SY"/>
        </w:rPr>
        <w:t xml:space="preserve">il </w:t>
      </w:r>
      <w:r w:rsidR="00D040CF" w:rsidRPr="00963FBB">
        <w:rPr>
          <w:lang w:val="fr-FR" w:bidi="ar-SY"/>
        </w:rPr>
        <w:t>serait possible de</w:t>
      </w:r>
      <w:r w:rsidRPr="00963FBB">
        <w:rPr>
          <w:lang w:val="fr-FR" w:bidi="ar-SY"/>
        </w:rPr>
        <w:t xml:space="preserve"> faire un suivi à l'avenir?</w:t>
      </w:r>
    </w:p>
    <w:p w:rsidR="009B684E" w:rsidRDefault="009B684E" w:rsidP="00241487">
      <w:pPr>
        <w:rPr>
          <w:sz w:val="24"/>
          <w:szCs w:val="24"/>
          <w:lang w:val="fr-FR" w:bidi="ar-S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5"/>
      </w:tblGrid>
      <w:tr w:rsidR="006E1DA5" w:rsidRPr="00241487" w:rsidTr="007B4A6A">
        <w:trPr>
          <w:trHeight w:val="1387"/>
        </w:trPr>
        <w:tc>
          <w:tcPr>
            <w:tcW w:w="9805" w:type="dxa"/>
          </w:tcPr>
          <w:p w:rsidR="006E1DA5" w:rsidRPr="00C31516" w:rsidRDefault="006E1DA5" w:rsidP="00241487">
            <w:pPr>
              <w:rPr>
                <w:lang w:val="fr-FR"/>
              </w:rPr>
            </w:pPr>
          </w:p>
        </w:tc>
      </w:tr>
    </w:tbl>
    <w:p w:rsidR="006E1DA5" w:rsidRDefault="006E1DA5" w:rsidP="00241487">
      <w:pPr>
        <w:rPr>
          <w:sz w:val="24"/>
          <w:szCs w:val="24"/>
          <w:lang w:val="fr-FR" w:bidi="ar-SY"/>
        </w:rPr>
      </w:pPr>
    </w:p>
    <w:p w:rsidR="00AC78F4" w:rsidRDefault="00AC78F4" w:rsidP="00D27BCE">
      <w:pPr>
        <w:rPr>
          <w:sz w:val="24"/>
          <w:szCs w:val="24"/>
          <w:lang w:val="fr-FR" w:bidi="ar-SY"/>
        </w:rPr>
      </w:pPr>
      <w:r>
        <w:rPr>
          <w:sz w:val="24"/>
          <w:szCs w:val="24"/>
          <w:lang w:val="fr-FR" w:bidi="ar-SY"/>
        </w:rPr>
        <w:t xml:space="preserve">3.2. </w:t>
      </w:r>
      <w:r w:rsidR="00241487">
        <w:rPr>
          <w:sz w:val="24"/>
          <w:szCs w:val="24"/>
          <w:lang w:val="fr-FR" w:bidi="ar-SY"/>
        </w:rPr>
        <w:tab/>
      </w:r>
      <w:r w:rsidRPr="00963FBB">
        <w:rPr>
          <w:lang w:val="fr-FR" w:bidi="ar-SY"/>
        </w:rPr>
        <w:t xml:space="preserve">Est-ce que vous ou </w:t>
      </w:r>
      <w:r w:rsidR="005C0DFC" w:rsidRPr="00963FBB">
        <w:rPr>
          <w:lang w:val="fr-FR" w:bidi="ar-SY"/>
        </w:rPr>
        <w:t>une autre institution gouvernementale faites</w:t>
      </w:r>
      <w:r w:rsidR="00D27BCE" w:rsidRPr="00963FBB">
        <w:rPr>
          <w:lang w:val="fr-FR" w:bidi="ar-SY"/>
        </w:rPr>
        <w:t xml:space="preserve"> rapport </w:t>
      </w:r>
      <w:r w:rsidRPr="00963FBB">
        <w:rPr>
          <w:lang w:val="fr-FR" w:bidi="ar-SY"/>
        </w:rPr>
        <w:t xml:space="preserve">à l’Initiative internationale pour la transparence de l’aide ou au système de notification des créanciers du Comité d’aide au développement de l’OCDE (CAD / CRS)? Si tel est le cas, y </w:t>
      </w:r>
      <w:r w:rsidR="005C0DFC" w:rsidRPr="00963FBB">
        <w:rPr>
          <w:lang w:val="fr-FR" w:bidi="ar-SY"/>
        </w:rPr>
        <w:t>aurait-</w:t>
      </w:r>
      <w:r w:rsidRPr="00963FBB">
        <w:rPr>
          <w:lang w:val="fr-FR" w:bidi="ar-SY"/>
        </w:rPr>
        <w:t>il une institution ou un point de contact responsable avec qui</w:t>
      </w:r>
      <w:r w:rsidR="000006E6" w:rsidRPr="00963FBB">
        <w:rPr>
          <w:lang w:val="fr-FR" w:bidi="ar-SY"/>
        </w:rPr>
        <w:t xml:space="preserve"> il</w:t>
      </w:r>
      <w:r w:rsidRPr="00963FBB">
        <w:rPr>
          <w:lang w:val="fr-FR" w:bidi="ar-SY"/>
        </w:rPr>
        <w:t xml:space="preserve"> </w:t>
      </w:r>
      <w:r w:rsidR="009B684E" w:rsidRPr="00963FBB">
        <w:rPr>
          <w:lang w:val="fr-FR" w:bidi="ar-SY"/>
        </w:rPr>
        <w:t xml:space="preserve">serait possible de </w:t>
      </w:r>
      <w:r w:rsidRPr="00963FBB">
        <w:rPr>
          <w:lang w:val="fr-FR" w:bidi="ar-SY"/>
        </w:rPr>
        <w:t>faire un suivi à l'avenir?</w:t>
      </w:r>
    </w:p>
    <w:p w:rsidR="005C0DFC" w:rsidRDefault="005C0DFC" w:rsidP="00241487">
      <w:pPr>
        <w:rPr>
          <w:sz w:val="24"/>
          <w:szCs w:val="24"/>
          <w:lang w:val="fr-FR" w:bidi="ar-S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5"/>
      </w:tblGrid>
      <w:tr w:rsidR="005C0DFC" w:rsidRPr="00241487" w:rsidTr="007B4A6A">
        <w:trPr>
          <w:trHeight w:val="1387"/>
        </w:trPr>
        <w:tc>
          <w:tcPr>
            <w:tcW w:w="9805" w:type="dxa"/>
          </w:tcPr>
          <w:p w:rsidR="005C0DFC" w:rsidRPr="00C31516" w:rsidRDefault="005C0DFC" w:rsidP="00241487">
            <w:pPr>
              <w:rPr>
                <w:lang w:val="fr-FR"/>
              </w:rPr>
            </w:pPr>
          </w:p>
        </w:tc>
      </w:tr>
    </w:tbl>
    <w:p w:rsidR="005C0DFC" w:rsidRDefault="005C0DFC" w:rsidP="00241487">
      <w:pPr>
        <w:rPr>
          <w:sz w:val="24"/>
          <w:szCs w:val="24"/>
          <w:lang w:val="fr-FR" w:bidi="ar-SY"/>
        </w:rPr>
      </w:pPr>
    </w:p>
    <w:p w:rsidR="00D07D62" w:rsidRPr="00963FBB" w:rsidRDefault="00D07D62" w:rsidP="00963FBB">
      <w:pPr>
        <w:pStyle w:val="ListParagraph"/>
        <w:numPr>
          <w:ilvl w:val="0"/>
          <w:numId w:val="19"/>
        </w:numPr>
        <w:ind w:left="360"/>
        <w:rPr>
          <w:rFonts w:ascii="Cambria" w:hAnsi="Cambria"/>
          <w:b/>
          <w:color w:val="2E74B5" w:themeColor="accent1" w:themeShade="BF"/>
          <w:sz w:val="26"/>
          <w:szCs w:val="26"/>
          <w:lang w:val="fr-FR" w:bidi="ar-SY"/>
        </w:rPr>
      </w:pPr>
      <w:r w:rsidRPr="00963FBB">
        <w:rPr>
          <w:rFonts w:ascii="Cambria" w:hAnsi="Cambria"/>
          <w:b/>
          <w:color w:val="2E74B5" w:themeColor="accent1" w:themeShade="BF"/>
          <w:sz w:val="26"/>
          <w:szCs w:val="26"/>
          <w:lang w:val="fr-FR" w:bidi="ar-SY"/>
        </w:rPr>
        <w:t>Évaluation des besoins</w:t>
      </w:r>
    </w:p>
    <w:p w:rsidR="005D0E6B" w:rsidRDefault="005D0E6B" w:rsidP="00241487">
      <w:pPr>
        <w:pStyle w:val="ListParagraph"/>
        <w:ind w:left="0"/>
        <w:rPr>
          <w:sz w:val="24"/>
          <w:szCs w:val="24"/>
          <w:lang w:val="fr-FR" w:bidi="ar-SY"/>
        </w:rPr>
      </w:pPr>
    </w:p>
    <w:p w:rsidR="00D07D62" w:rsidRPr="00963FBB" w:rsidRDefault="00D07D62" w:rsidP="00241487">
      <w:pPr>
        <w:pStyle w:val="ListParagraph"/>
        <w:numPr>
          <w:ilvl w:val="1"/>
          <w:numId w:val="19"/>
        </w:numPr>
        <w:ind w:left="0" w:firstLine="0"/>
        <w:rPr>
          <w:lang w:val="fr-FR" w:bidi="ar-SY"/>
        </w:rPr>
      </w:pPr>
      <w:r w:rsidRPr="00963FBB">
        <w:rPr>
          <w:lang w:val="fr-FR" w:bidi="ar-SY"/>
        </w:rPr>
        <w:t>Dans des conditions optimales et sans aucune contrainte budgétai</w:t>
      </w:r>
      <w:r w:rsidR="009B684E" w:rsidRPr="00963FBB">
        <w:rPr>
          <w:lang w:val="fr-FR" w:bidi="ar-SY"/>
        </w:rPr>
        <w:t xml:space="preserve">re, quel serait, à votre avis, </w:t>
      </w:r>
      <w:r w:rsidRPr="00963FBB">
        <w:rPr>
          <w:lang w:val="fr-FR" w:bidi="ar-SY"/>
        </w:rPr>
        <w:t>le montant idéal à investir dans chacun des domaines du Traité national?</w:t>
      </w:r>
    </w:p>
    <w:p w:rsidR="00D07D62" w:rsidRDefault="00D07D62" w:rsidP="00241487">
      <w:pPr>
        <w:pStyle w:val="ListParagraph"/>
        <w:ind w:left="0"/>
        <w:rPr>
          <w:sz w:val="24"/>
          <w:szCs w:val="24"/>
          <w:lang w:val="fr-FR" w:bidi="ar-S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5"/>
      </w:tblGrid>
      <w:tr w:rsidR="00D07D62" w:rsidRPr="00241487" w:rsidTr="007B4A6A">
        <w:trPr>
          <w:trHeight w:val="1387"/>
        </w:trPr>
        <w:tc>
          <w:tcPr>
            <w:tcW w:w="9805" w:type="dxa"/>
          </w:tcPr>
          <w:p w:rsidR="00D07D62" w:rsidRPr="00C31516" w:rsidRDefault="00D07D62" w:rsidP="00241487">
            <w:pPr>
              <w:rPr>
                <w:lang w:val="fr-FR"/>
              </w:rPr>
            </w:pPr>
          </w:p>
        </w:tc>
      </w:tr>
    </w:tbl>
    <w:p w:rsidR="00D07D62" w:rsidRDefault="00D07D62" w:rsidP="00241487">
      <w:pPr>
        <w:pStyle w:val="ListParagraph"/>
        <w:ind w:left="0"/>
        <w:rPr>
          <w:sz w:val="24"/>
          <w:szCs w:val="24"/>
          <w:lang w:val="fr-FR" w:bidi="ar-SY"/>
        </w:rPr>
      </w:pPr>
      <w:bookmarkStart w:id="0" w:name="_GoBack"/>
      <w:bookmarkEnd w:id="0"/>
    </w:p>
    <w:p w:rsidR="005D0E6B" w:rsidRDefault="005D0E6B" w:rsidP="00241487">
      <w:pPr>
        <w:pStyle w:val="ListParagraph"/>
        <w:ind w:left="0"/>
        <w:rPr>
          <w:lang w:val="fr-FR" w:bidi="ar-SY"/>
        </w:rPr>
      </w:pPr>
      <w:r>
        <w:rPr>
          <w:sz w:val="24"/>
          <w:szCs w:val="24"/>
          <w:lang w:val="fr-FR" w:bidi="ar-SY"/>
        </w:rPr>
        <w:t xml:space="preserve">4.2.  </w:t>
      </w:r>
      <w:r w:rsidR="00241487">
        <w:rPr>
          <w:sz w:val="24"/>
          <w:szCs w:val="24"/>
          <w:lang w:val="fr-FR" w:bidi="ar-SY"/>
        </w:rPr>
        <w:tab/>
      </w:r>
      <w:r w:rsidRPr="00963FBB">
        <w:rPr>
          <w:lang w:val="fr-FR" w:bidi="ar-SY"/>
        </w:rPr>
        <w:t>Quel domaine en particulier bénéficierait de ressources supplémentaires dans votre estimation? Veuillez cocher un</w:t>
      </w:r>
      <w:r w:rsidR="000C5A9E" w:rsidRPr="00963FBB">
        <w:rPr>
          <w:lang w:val="fr-FR" w:bidi="ar-SY"/>
        </w:rPr>
        <w:t>e</w:t>
      </w:r>
      <w:r w:rsidRPr="00963FBB">
        <w:rPr>
          <w:lang w:val="fr-FR" w:bidi="ar-SY"/>
        </w:rPr>
        <w:t xml:space="preserve"> ou plusieurs cases</w:t>
      </w:r>
      <w:r w:rsidR="004504E8" w:rsidRPr="00963FBB">
        <w:rPr>
          <w:lang w:val="fr-FR" w:bidi="ar-SY"/>
        </w:rPr>
        <w:t>.</w:t>
      </w:r>
    </w:p>
    <w:p w:rsidR="00963FBB" w:rsidRPr="004504E8" w:rsidRDefault="00963FBB" w:rsidP="00241487">
      <w:pPr>
        <w:pStyle w:val="ListParagraph"/>
        <w:ind w:left="0"/>
        <w:rPr>
          <w:sz w:val="24"/>
          <w:szCs w:val="24"/>
          <w:lang w:val="fr-FR" w:bidi="ar-S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985"/>
      </w:tblGrid>
      <w:tr w:rsidR="005D0E6B" w:rsidTr="001176DA">
        <w:tc>
          <w:tcPr>
            <w:tcW w:w="3510" w:type="dxa"/>
            <w:shd w:val="clear" w:color="auto" w:fill="8EAADB" w:themeFill="accent5" w:themeFillTint="99"/>
          </w:tcPr>
          <w:p w:rsidR="005D0E6B" w:rsidRPr="00032835" w:rsidRDefault="00032835" w:rsidP="00241487">
            <w:pPr>
              <w:rPr>
                <w:sz w:val="20"/>
                <w:szCs w:val="20"/>
              </w:rPr>
            </w:pPr>
            <w:r w:rsidRPr="00032835">
              <w:rPr>
                <w:sz w:val="20"/>
                <w:szCs w:val="20"/>
                <w:lang w:val="fr-FR"/>
              </w:rPr>
              <w:lastRenderedPageBreak/>
              <w:t>Conservation ex situ</w:t>
            </w:r>
          </w:p>
        </w:tc>
        <w:tc>
          <w:tcPr>
            <w:tcW w:w="985" w:type="dxa"/>
          </w:tcPr>
          <w:p w:rsidR="005D0E6B" w:rsidRDefault="005D0E6B" w:rsidP="00241487"/>
        </w:tc>
      </w:tr>
      <w:tr w:rsidR="005D0E6B" w:rsidTr="001176DA">
        <w:tc>
          <w:tcPr>
            <w:tcW w:w="3510" w:type="dxa"/>
            <w:shd w:val="clear" w:color="auto" w:fill="8EAADB" w:themeFill="accent5" w:themeFillTint="99"/>
          </w:tcPr>
          <w:p w:rsidR="005D0E6B" w:rsidRPr="00032835" w:rsidRDefault="00032835" w:rsidP="00241487">
            <w:pPr>
              <w:rPr>
                <w:sz w:val="20"/>
                <w:szCs w:val="20"/>
              </w:rPr>
            </w:pPr>
            <w:r w:rsidRPr="00032835">
              <w:rPr>
                <w:sz w:val="20"/>
                <w:szCs w:val="20"/>
                <w:lang w:val="fr-FR"/>
              </w:rPr>
              <w:t>Conservation in situ</w:t>
            </w:r>
          </w:p>
        </w:tc>
        <w:tc>
          <w:tcPr>
            <w:tcW w:w="985" w:type="dxa"/>
          </w:tcPr>
          <w:p w:rsidR="005D0E6B" w:rsidRDefault="005D0E6B" w:rsidP="00241487"/>
        </w:tc>
      </w:tr>
      <w:tr w:rsidR="005D0E6B" w:rsidTr="001176DA">
        <w:tc>
          <w:tcPr>
            <w:tcW w:w="3510" w:type="dxa"/>
            <w:shd w:val="clear" w:color="auto" w:fill="8EAADB" w:themeFill="accent5" w:themeFillTint="99"/>
          </w:tcPr>
          <w:p w:rsidR="005D0E6B" w:rsidRPr="00032835" w:rsidRDefault="00032835" w:rsidP="00241487">
            <w:pPr>
              <w:rPr>
                <w:sz w:val="20"/>
                <w:szCs w:val="20"/>
              </w:rPr>
            </w:pPr>
            <w:r w:rsidRPr="00032835">
              <w:rPr>
                <w:sz w:val="20"/>
                <w:szCs w:val="20"/>
                <w:lang w:val="fr-FR"/>
              </w:rPr>
              <w:t>Gestion à la ferme</w:t>
            </w:r>
          </w:p>
        </w:tc>
        <w:tc>
          <w:tcPr>
            <w:tcW w:w="985" w:type="dxa"/>
          </w:tcPr>
          <w:p w:rsidR="005D0E6B" w:rsidRDefault="005D0E6B" w:rsidP="00241487"/>
        </w:tc>
      </w:tr>
      <w:tr w:rsidR="005D0E6B" w:rsidRPr="00241487" w:rsidTr="001176DA">
        <w:tc>
          <w:tcPr>
            <w:tcW w:w="3510" w:type="dxa"/>
            <w:shd w:val="clear" w:color="auto" w:fill="8EAADB" w:themeFill="accent5" w:themeFillTint="99"/>
          </w:tcPr>
          <w:p w:rsidR="005D0E6B" w:rsidRPr="00032835" w:rsidRDefault="004C2531" w:rsidP="00241487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Amélioration des plantes</w:t>
            </w:r>
            <w:r w:rsidR="00032835" w:rsidRPr="00032835">
              <w:rPr>
                <w:sz w:val="20"/>
                <w:szCs w:val="20"/>
                <w:lang w:val="fr-FR"/>
              </w:rPr>
              <w:t xml:space="preserve"> et utilisation durable des ressources</w:t>
            </w:r>
          </w:p>
        </w:tc>
        <w:tc>
          <w:tcPr>
            <w:tcW w:w="985" w:type="dxa"/>
          </w:tcPr>
          <w:p w:rsidR="005D0E6B" w:rsidRPr="00032835" w:rsidRDefault="005D0E6B" w:rsidP="00241487">
            <w:pPr>
              <w:rPr>
                <w:lang w:val="fr-FR"/>
              </w:rPr>
            </w:pPr>
          </w:p>
        </w:tc>
      </w:tr>
      <w:tr w:rsidR="005D0E6B" w:rsidRPr="00241487" w:rsidTr="001176DA">
        <w:tc>
          <w:tcPr>
            <w:tcW w:w="4495" w:type="dxa"/>
            <w:gridSpan w:val="2"/>
          </w:tcPr>
          <w:p w:rsidR="005D0E6B" w:rsidRPr="00032835" w:rsidRDefault="005D0E6B" w:rsidP="00241487">
            <w:pPr>
              <w:rPr>
                <w:sz w:val="20"/>
                <w:szCs w:val="20"/>
                <w:lang w:val="fr-FR"/>
              </w:rPr>
            </w:pPr>
          </w:p>
        </w:tc>
      </w:tr>
      <w:tr w:rsidR="005D0E6B" w:rsidRPr="00241487" w:rsidTr="001176DA">
        <w:tc>
          <w:tcPr>
            <w:tcW w:w="3510" w:type="dxa"/>
            <w:shd w:val="clear" w:color="auto" w:fill="8EAADB" w:themeFill="accent5" w:themeFillTint="99"/>
          </w:tcPr>
          <w:p w:rsidR="005D0E6B" w:rsidRPr="00032835" w:rsidRDefault="00032835" w:rsidP="00241487">
            <w:pPr>
              <w:rPr>
                <w:sz w:val="20"/>
                <w:szCs w:val="20"/>
                <w:lang w:val="fr-FR"/>
              </w:rPr>
            </w:pPr>
            <w:r w:rsidRPr="00032835">
              <w:rPr>
                <w:sz w:val="20"/>
                <w:szCs w:val="20"/>
                <w:lang w:val="fr-FR"/>
              </w:rPr>
              <w:t>Système multilatéral d’accès et de partage des avantages</w:t>
            </w:r>
          </w:p>
        </w:tc>
        <w:tc>
          <w:tcPr>
            <w:tcW w:w="985" w:type="dxa"/>
          </w:tcPr>
          <w:p w:rsidR="005D0E6B" w:rsidRPr="00032835" w:rsidRDefault="005D0E6B" w:rsidP="00241487">
            <w:pPr>
              <w:rPr>
                <w:lang w:val="fr-FR"/>
              </w:rPr>
            </w:pPr>
          </w:p>
        </w:tc>
      </w:tr>
      <w:tr w:rsidR="005D0E6B" w:rsidTr="001176DA">
        <w:tc>
          <w:tcPr>
            <w:tcW w:w="3510" w:type="dxa"/>
            <w:shd w:val="clear" w:color="auto" w:fill="8EAADB" w:themeFill="accent5" w:themeFillTint="99"/>
          </w:tcPr>
          <w:p w:rsidR="005D0E6B" w:rsidRPr="00032835" w:rsidRDefault="00032835" w:rsidP="00241487">
            <w:pPr>
              <w:rPr>
                <w:sz w:val="20"/>
                <w:szCs w:val="20"/>
              </w:rPr>
            </w:pPr>
            <w:r w:rsidRPr="00032835">
              <w:rPr>
                <w:sz w:val="20"/>
                <w:szCs w:val="20"/>
                <w:lang w:val="fr-FR"/>
              </w:rPr>
              <w:t>Transfert de technologie</w:t>
            </w:r>
          </w:p>
        </w:tc>
        <w:tc>
          <w:tcPr>
            <w:tcW w:w="985" w:type="dxa"/>
          </w:tcPr>
          <w:p w:rsidR="005D0E6B" w:rsidRDefault="005D0E6B" w:rsidP="00241487"/>
        </w:tc>
      </w:tr>
      <w:tr w:rsidR="005D0E6B" w:rsidTr="001176DA">
        <w:tc>
          <w:tcPr>
            <w:tcW w:w="3510" w:type="dxa"/>
            <w:shd w:val="clear" w:color="auto" w:fill="8EAADB" w:themeFill="accent5" w:themeFillTint="99"/>
          </w:tcPr>
          <w:p w:rsidR="005D0E6B" w:rsidRPr="00032835" w:rsidRDefault="00032835" w:rsidP="00241487">
            <w:pPr>
              <w:rPr>
                <w:sz w:val="20"/>
                <w:szCs w:val="20"/>
              </w:rPr>
            </w:pPr>
            <w:r w:rsidRPr="00032835">
              <w:rPr>
                <w:sz w:val="20"/>
                <w:szCs w:val="20"/>
                <w:lang w:val="fr-FR"/>
              </w:rPr>
              <w:t>Systèmes d’information</w:t>
            </w:r>
          </w:p>
        </w:tc>
        <w:tc>
          <w:tcPr>
            <w:tcW w:w="985" w:type="dxa"/>
          </w:tcPr>
          <w:p w:rsidR="005D0E6B" w:rsidRDefault="005D0E6B" w:rsidP="00241487"/>
        </w:tc>
      </w:tr>
      <w:tr w:rsidR="005D0E6B" w:rsidTr="001176DA">
        <w:tc>
          <w:tcPr>
            <w:tcW w:w="3510" w:type="dxa"/>
            <w:shd w:val="clear" w:color="auto" w:fill="8EAADB" w:themeFill="accent5" w:themeFillTint="99"/>
          </w:tcPr>
          <w:p w:rsidR="005D0E6B" w:rsidRPr="00032835" w:rsidRDefault="00032835" w:rsidP="00241487">
            <w:pPr>
              <w:rPr>
                <w:sz w:val="20"/>
                <w:szCs w:val="20"/>
              </w:rPr>
            </w:pPr>
            <w:r w:rsidRPr="00032835">
              <w:rPr>
                <w:sz w:val="20"/>
                <w:szCs w:val="20"/>
                <w:lang w:val="fr-FR"/>
              </w:rPr>
              <w:t>Renforcement des capacités</w:t>
            </w:r>
          </w:p>
        </w:tc>
        <w:tc>
          <w:tcPr>
            <w:tcW w:w="985" w:type="dxa"/>
          </w:tcPr>
          <w:p w:rsidR="005D0E6B" w:rsidRDefault="005D0E6B" w:rsidP="00241487"/>
        </w:tc>
      </w:tr>
      <w:tr w:rsidR="005D0E6B" w:rsidTr="001176DA">
        <w:tc>
          <w:tcPr>
            <w:tcW w:w="3510" w:type="dxa"/>
            <w:shd w:val="clear" w:color="auto" w:fill="8EAADB" w:themeFill="accent5" w:themeFillTint="99"/>
          </w:tcPr>
          <w:p w:rsidR="005D0E6B" w:rsidRPr="00032835" w:rsidRDefault="00032835" w:rsidP="00241487">
            <w:pPr>
              <w:rPr>
                <w:sz w:val="20"/>
                <w:szCs w:val="20"/>
              </w:rPr>
            </w:pPr>
            <w:r w:rsidRPr="00032835">
              <w:rPr>
                <w:sz w:val="20"/>
                <w:szCs w:val="20"/>
                <w:lang w:val="fr-FR"/>
              </w:rPr>
              <w:t>Système mondial d’information</w:t>
            </w:r>
          </w:p>
        </w:tc>
        <w:tc>
          <w:tcPr>
            <w:tcW w:w="985" w:type="dxa"/>
          </w:tcPr>
          <w:p w:rsidR="005D0E6B" w:rsidRDefault="005D0E6B" w:rsidP="00241487"/>
        </w:tc>
      </w:tr>
      <w:tr w:rsidR="005D0E6B" w:rsidTr="001176DA">
        <w:tc>
          <w:tcPr>
            <w:tcW w:w="3510" w:type="dxa"/>
            <w:shd w:val="clear" w:color="auto" w:fill="8EAADB" w:themeFill="accent5" w:themeFillTint="99"/>
          </w:tcPr>
          <w:p w:rsidR="005D0E6B" w:rsidRPr="00032835" w:rsidRDefault="00032835" w:rsidP="00241487">
            <w:pPr>
              <w:rPr>
                <w:sz w:val="20"/>
                <w:szCs w:val="20"/>
              </w:rPr>
            </w:pPr>
            <w:r w:rsidRPr="00032835">
              <w:rPr>
                <w:sz w:val="20"/>
                <w:szCs w:val="20"/>
                <w:lang w:val="fr-FR"/>
              </w:rPr>
              <w:t>Droits des agriculteurs</w:t>
            </w:r>
          </w:p>
        </w:tc>
        <w:tc>
          <w:tcPr>
            <w:tcW w:w="985" w:type="dxa"/>
          </w:tcPr>
          <w:p w:rsidR="005D0E6B" w:rsidRDefault="005D0E6B" w:rsidP="00241487"/>
        </w:tc>
      </w:tr>
      <w:tr w:rsidR="005D0E6B" w:rsidTr="001176DA">
        <w:tc>
          <w:tcPr>
            <w:tcW w:w="3510" w:type="dxa"/>
            <w:shd w:val="clear" w:color="auto" w:fill="8EAADB" w:themeFill="accent5" w:themeFillTint="99"/>
          </w:tcPr>
          <w:p w:rsidR="005D0E6B" w:rsidRPr="00032835" w:rsidRDefault="00032835" w:rsidP="00241487">
            <w:pPr>
              <w:rPr>
                <w:sz w:val="20"/>
                <w:szCs w:val="20"/>
              </w:rPr>
            </w:pPr>
            <w:r w:rsidRPr="00032835">
              <w:rPr>
                <w:sz w:val="20"/>
                <w:szCs w:val="20"/>
                <w:lang w:val="fr-FR"/>
              </w:rPr>
              <w:t>Élaboration des politiques</w:t>
            </w:r>
          </w:p>
        </w:tc>
        <w:tc>
          <w:tcPr>
            <w:tcW w:w="985" w:type="dxa"/>
          </w:tcPr>
          <w:p w:rsidR="005D0E6B" w:rsidRDefault="005D0E6B" w:rsidP="00241487"/>
        </w:tc>
      </w:tr>
    </w:tbl>
    <w:p w:rsidR="005D0E6B" w:rsidRPr="00D07D62" w:rsidRDefault="005D0E6B" w:rsidP="00241487">
      <w:pPr>
        <w:pStyle w:val="ListParagraph"/>
        <w:ind w:left="0"/>
        <w:rPr>
          <w:sz w:val="24"/>
          <w:szCs w:val="24"/>
          <w:rtl/>
          <w:lang w:val="fr-FR" w:bidi="ar-SY"/>
        </w:rPr>
      </w:pPr>
    </w:p>
    <w:sectPr w:rsidR="005D0E6B" w:rsidRPr="00D07D62" w:rsidSect="00DE1AF9">
      <w:headerReference w:type="default" r:id="rId8"/>
      <w:headerReference w:type="first" r:id="rId9"/>
      <w:pgSz w:w="11907" w:h="16839" w:code="9"/>
      <w:pgMar w:top="315" w:right="1080" w:bottom="1440" w:left="864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A4B" w:rsidRDefault="00165A4B" w:rsidP="0028071F">
      <w:r>
        <w:separator/>
      </w:r>
    </w:p>
  </w:endnote>
  <w:endnote w:type="continuationSeparator" w:id="0">
    <w:p w:rsidR="00165A4B" w:rsidRDefault="00165A4B" w:rsidP="0028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A4B" w:rsidRDefault="00165A4B" w:rsidP="0028071F">
      <w:r>
        <w:separator/>
      </w:r>
    </w:p>
  </w:footnote>
  <w:footnote w:type="continuationSeparator" w:id="0">
    <w:p w:rsidR="00165A4B" w:rsidRDefault="00165A4B" w:rsidP="00280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5C8" w:rsidRDefault="00B938C8">
    <w:pPr>
      <w:pStyle w:val="Header"/>
    </w:pPr>
    <w:r>
      <w:t xml:space="preserve"> </w:t>
    </w:r>
  </w:p>
  <w:p w:rsidR="005135C8" w:rsidRDefault="005135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AF9" w:rsidRDefault="00DE1AF9">
    <w:pPr>
      <w:pStyle w:val="Header"/>
    </w:pPr>
    <w:r>
      <w:rPr>
        <w:noProof/>
      </w:rPr>
      <w:drawing>
        <wp:inline distT="0" distB="0" distL="0" distR="0" wp14:anchorId="36F4151B" wp14:editId="4CDA83E0">
          <wp:extent cx="5781675" cy="971550"/>
          <wp:effectExtent l="0" t="0" r="9525" b="0"/>
          <wp:docPr id="3" name="Picture 3" descr="S:\INFORMATION RESOURCES\logos\New Logos 2015\FAO_ITPGRFA\Color\for letterhead\LOGO_fr_letterhead_f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S:\INFORMATION RESOURCES\logos\New Logos 2015\FAO_ITPGRFA\Color\for letterhead\LOGO_fr_letterhead_fa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45D6"/>
    <w:multiLevelType w:val="hybridMultilevel"/>
    <w:tmpl w:val="37286094"/>
    <w:lvl w:ilvl="0" w:tplc="CB2CE75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1A0E3B"/>
    <w:multiLevelType w:val="multilevel"/>
    <w:tmpl w:val="F2AA2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9EB03E1"/>
    <w:multiLevelType w:val="hybridMultilevel"/>
    <w:tmpl w:val="F2122DF2"/>
    <w:lvl w:ilvl="0" w:tplc="6C9E55C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DB2784"/>
    <w:multiLevelType w:val="hybridMultilevel"/>
    <w:tmpl w:val="7A84A8BE"/>
    <w:lvl w:ilvl="0" w:tplc="F208BF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21AB1"/>
    <w:multiLevelType w:val="hybridMultilevel"/>
    <w:tmpl w:val="6D98E0F2"/>
    <w:lvl w:ilvl="0" w:tplc="F4CA7CE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4D66E2"/>
    <w:multiLevelType w:val="hybridMultilevel"/>
    <w:tmpl w:val="8A7C224E"/>
    <w:lvl w:ilvl="0" w:tplc="8DC418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D42B3"/>
    <w:multiLevelType w:val="hybridMultilevel"/>
    <w:tmpl w:val="BD9A33A0"/>
    <w:lvl w:ilvl="0" w:tplc="A9B07A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D769D"/>
    <w:multiLevelType w:val="hybridMultilevel"/>
    <w:tmpl w:val="60AC0B32"/>
    <w:lvl w:ilvl="0" w:tplc="C71862D8">
      <w:start w:val="1"/>
      <w:numFmt w:val="decimal"/>
      <w:lvlText w:val="%1."/>
      <w:lvlJc w:val="left"/>
      <w:pPr>
        <w:ind w:left="645" w:hanging="360"/>
      </w:pPr>
      <w:rPr>
        <w:rFonts w:ascii="Traditional Arabic" w:hAnsi="Traditional Arabic" w:cs="Traditional Arabic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370E534E"/>
    <w:multiLevelType w:val="hybridMultilevel"/>
    <w:tmpl w:val="F28228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1795B"/>
    <w:multiLevelType w:val="hybridMultilevel"/>
    <w:tmpl w:val="D4F8E820"/>
    <w:lvl w:ilvl="0" w:tplc="A9686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B6779"/>
    <w:multiLevelType w:val="hybridMultilevel"/>
    <w:tmpl w:val="56080690"/>
    <w:lvl w:ilvl="0" w:tplc="561C039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CF36D9"/>
    <w:multiLevelType w:val="hybridMultilevel"/>
    <w:tmpl w:val="968AC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34FF3"/>
    <w:multiLevelType w:val="multilevel"/>
    <w:tmpl w:val="A362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0A2FB9"/>
    <w:multiLevelType w:val="multilevel"/>
    <w:tmpl w:val="1286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8F5494"/>
    <w:multiLevelType w:val="hybridMultilevel"/>
    <w:tmpl w:val="FA006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877C6"/>
    <w:multiLevelType w:val="hybridMultilevel"/>
    <w:tmpl w:val="69D0D70C"/>
    <w:lvl w:ilvl="0" w:tplc="30C8F92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D95225"/>
    <w:multiLevelType w:val="hybridMultilevel"/>
    <w:tmpl w:val="BA4C6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D6AFE"/>
    <w:multiLevelType w:val="hybridMultilevel"/>
    <w:tmpl w:val="D1E4B1DE"/>
    <w:lvl w:ilvl="0" w:tplc="87F68F16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C20795"/>
    <w:multiLevelType w:val="hybridMultilevel"/>
    <w:tmpl w:val="B1C67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E2913"/>
    <w:multiLevelType w:val="hybridMultilevel"/>
    <w:tmpl w:val="D4F41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D5FF8"/>
    <w:multiLevelType w:val="hybridMultilevel"/>
    <w:tmpl w:val="CEDC5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5"/>
  </w:num>
  <w:num w:numId="5">
    <w:abstractNumId w:val="3"/>
  </w:num>
  <w:num w:numId="6">
    <w:abstractNumId w:val="16"/>
  </w:num>
  <w:num w:numId="7">
    <w:abstractNumId w:val="7"/>
  </w:num>
  <w:num w:numId="8">
    <w:abstractNumId w:val="15"/>
  </w:num>
  <w:num w:numId="9">
    <w:abstractNumId w:val="10"/>
  </w:num>
  <w:num w:numId="10">
    <w:abstractNumId w:val="0"/>
  </w:num>
  <w:num w:numId="11">
    <w:abstractNumId w:val="2"/>
  </w:num>
  <w:num w:numId="12">
    <w:abstractNumId w:val="19"/>
  </w:num>
  <w:num w:numId="13">
    <w:abstractNumId w:val="17"/>
  </w:num>
  <w:num w:numId="14">
    <w:abstractNumId w:val="6"/>
  </w:num>
  <w:num w:numId="15">
    <w:abstractNumId w:val="20"/>
  </w:num>
  <w:num w:numId="16">
    <w:abstractNumId w:val="11"/>
  </w:num>
  <w:num w:numId="17">
    <w:abstractNumId w:val="13"/>
  </w:num>
  <w:num w:numId="18">
    <w:abstractNumId w:val="12"/>
  </w:num>
  <w:num w:numId="19">
    <w:abstractNumId w:val="1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B5"/>
    <w:rsid w:val="000006E6"/>
    <w:rsid w:val="00017CD0"/>
    <w:rsid w:val="00032835"/>
    <w:rsid w:val="0004295C"/>
    <w:rsid w:val="00050DDB"/>
    <w:rsid w:val="00065D0F"/>
    <w:rsid w:val="00094495"/>
    <w:rsid w:val="000C254D"/>
    <w:rsid w:val="000C5A9E"/>
    <w:rsid w:val="000E009C"/>
    <w:rsid w:val="0016235F"/>
    <w:rsid w:val="0016345E"/>
    <w:rsid w:val="00165A4B"/>
    <w:rsid w:val="001772F0"/>
    <w:rsid w:val="00185A4A"/>
    <w:rsid w:val="001B100E"/>
    <w:rsid w:val="001B7F41"/>
    <w:rsid w:val="001C2163"/>
    <w:rsid w:val="001C70FB"/>
    <w:rsid w:val="001E77F1"/>
    <w:rsid w:val="001F19EC"/>
    <w:rsid w:val="002035C8"/>
    <w:rsid w:val="00211B48"/>
    <w:rsid w:val="00214320"/>
    <w:rsid w:val="00221773"/>
    <w:rsid w:val="002242EA"/>
    <w:rsid w:val="00241487"/>
    <w:rsid w:val="00246434"/>
    <w:rsid w:val="00261E52"/>
    <w:rsid w:val="00271AA0"/>
    <w:rsid w:val="0028071F"/>
    <w:rsid w:val="00293D44"/>
    <w:rsid w:val="002A1716"/>
    <w:rsid w:val="002E46B8"/>
    <w:rsid w:val="00302FE8"/>
    <w:rsid w:val="00307199"/>
    <w:rsid w:val="003353F9"/>
    <w:rsid w:val="00354C04"/>
    <w:rsid w:val="00372FC6"/>
    <w:rsid w:val="00375F7D"/>
    <w:rsid w:val="003A3D65"/>
    <w:rsid w:val="003C0636"/>
    <w:rsid w:val="004259A4"/>
    <w:rsid w:val="00430401"/>
    <w:rsid w:val="00444B56"/>
    <w:rsid w:val="004504E8"/>
    <w:rsid w:val="00451D16"/>
    <w:rsid w:val="00457C78"/>
    <w:rsid w:val="00463293"/>
    <w:rsid w:val="00466FAC"/>
    <w:rsid w:val="004777D9"/>
    <w:rsid w:val="00481572"/>
    <w:rsid w:val="0049620C"/>
    <w:rsid w:val="004A4302"/>
    <w:rsid w:val="004B000A"/>
    <w:rsid w:val="004C2531"/>
    <w:rsid w:val="004D3BE2"/>
    <w:rsid w:val="004E513B"/>
    <w:rsid w:val="00503AFB"/>
    <w:rsid w:val="005135C8"/>
    <w:rsid w:val="00522BA9"/>
    <w:rsid w:val="005245E4"/>
    <w:rsid w:val="00535D3A"/>
    <w:rsid w:val="00536AEF"/>
    <w:rsid w:val="00543E81"/>
    <w:rsid w:val="00550457"/>
    <w:rsid w:val="00552AC4"/>
    <w:rsid w:val="00560802"/>
    <w:rsid w:val="00574B22"/>
    <w:rsid w:val="00593D82"/>
    <w:rsid w:val="005C0DFC"/>
    <w:rsid w:val="005C41D9"/>
    <w:rsid w:val="005D0E6B"/>
    <w:rsid w:val="005F2E64"/>
    <w:rsid w:val="005F4736"/>
    <w:rsid w:val="005F7C36"/>
    <w:rsid w:val="006227CC"/>
    <w:rsid w:val="00634D4E"/>
    <w:rsid w:val="0065420B"/>
    <w:rsid w:val="006740C9"/>
    <w:rsid w:val="006A12CB"/>
    <w:rsid w:val="006A6A22"/>
    <w:rsid w:val="006B0893"/>
    <w:rsid w:val="006D29CB"/>
    <w:rsid w:val="006D2F04"/>
    <w:rsid w:val="006E1DA5"/>
    <w:rsid w:val="006E3A34"/>
    <w:rsid w:val="00713CC1"/>
    <w:rsid w:val="00726B32"/>
    <w:rsid w:val="007517B4"/>
    <w:rsid w:val="00756079"/>
    <w:rsid w:val="00756BCF"/>
    <w:rsid w:val="007711B7"/>
    <w:rsid w:val="00776692"/>
    <w:rsid w:val="007911C2"/>
    <w:rsid w:val="007A2609"/>
    <w:rsid w:val="007B4A6A"/>
    <w:rsid w:val="007E3797"/>
    <w:rsid w:val="00812E9D"/>
    <w:rsid w:val="00827E20"/>
    <w:rsid w:val="008317DE"/>
    <w:rsid w:val="0083565B"/>
    <w:rsid w:val="00836B68"/>
    <w:rsid w:val="0083740E"/>
    <w:rsid w:val="00847379"/>
    <w:rsid w:val="00857659"/>
    <w:rsid w:val="00885F03"/>
    <w:rsid w:val="008A1525"/>
    <w:rsid w:val="008C6E0A"/>
    <w:rsid w:val="008E7485"/>
    <w:rsid w:val="008F4A84"/>
    <w:rsid w:val="00907640"/>
    <w:rsid w:val="00917617"/>
    <w:rsid w:val="00917B47"/>
    <w:rsid w:val="009237AB"/>
    <w:rsid w:val="00963FBB"/>
    <w:rsid w:val="009814EF"/>
    <w:rsid w:val="00983505"/>
    <w:rsid w:val="009846F0"/>
    <w:rsid w:val="009B50FD"/>
    <w:rsid w:val="009B684E"/>
    <w:rsid w:val="009C1757"/>
    <w:rsid w:val="009D3170"/>
    <w:rsid w:val="009F57EC"/>
    <w:rsid w:val="009F5B9C"/>
    <w:rsid w:val="00A02530"/>
    <w:rsid w:val="00A13EB3"/>
    <w:rsid w:val="00A36036"/>
    <w:rsid w:val="00A37491"/>
    <w:rsid w:val="00A406FB"/>
    <w:rsid w:val="00A83984"/>
    <w:rsid w:val="00A92759"/>
    <w:rsid w:val="00AA215D"/>
    <w:rsid w:val="00AB17F9"/>
    <w:rsid w:val="00AB5F68"/>
    <w:rsid w:val="00AC7745"/>
    <w:rsid w:val="00AC78F4"/>
    <w:rsid w:val="00AD2A93"/>
    <w:rsid w:val="00AD530B"/>
    <w:rsid w:val="00AD7879"/>
    <w:rsid w:val="00AE5080"/>
    <w:rsid w:val="00AF739C"/>
    <w:rsid w:val="00B00349"/>
    <w:rsid w:val="00B0331D"/>
    <w:rsid w:val="00B03E46"/>
    <w:rsid w:val="00B12E1B"/>
    <w:rsid w:val="00B16EAD"/>
    <w:rsid w:val="00B25ACE"/>
    <w:rsid w:val="00B54315"/>
    <w:rsid w:val="00B563BE"/>
    <w:rsid w:val="00B62FEC"/>
    <w:rsid w:val="00B83377"/>
    <w:rsid w:val="00B938C8"/>
    <w:rsid w:val="00B974CB"/>
    <w:rsid w:val="00BA405F"/>
    <w:rsid w:val="00BB07B0"/>
    <w:rsid w:val="00BC3F44"/>
    <w:rsid w:val="00BC46B5"/>
    <w:rsid w:val="00BD29E2"/>
    <w:rsid w:val="00BD39D1"/>
    <w:rsid w:val="00BE4D06"/>
    <w:rsid w:val="00C17C0C"/>
    <w:rsid w:val="00C27C1D"/>
    <w:rsid w:val="00C31516"/>
    <w:rsid w:val="00C3571F"/>
    <w:rsid w:val="00C5243C"/>
    <w:rsid w:val="00CD67B5"/>
    <w:rsid w:val="00CD6C04"/>
    <w:rsid w:val="00CE12F1"/>
    <w:rsid w:val="00D04006"/>
    <w:rsid w:val="00D040CF"/>
    <w:rsid w:val="00D050B6"/>
    <w:rsid w:val="00D07D62"/>
    <w:rsid w:val="00D1573C"/>
    <w:rsid w:val="00D27BCE"/>
    <w:rsid w:val="00D42133"/>
    <w:rsid w:val="00D4624A"/>
    <w:rsid w:val="00D53FB4"/>
    <w:rsid w:val="00D818BD"/>
    <w:rsid w:val="00DB2051"/>
    <w:rsid w:val="00DB2C2E"/>
    <w:rsid w:val="00DD2489"/>
    <w:rsid w:val="00DD5370"/>
    <w:rsid w:val="00DE1AF9"/>
    <w:rsid w:val="00DE21A9"/>
    <w:rsid w:val="00E0622E"/>
    <w:rsid w:val="00E317E3"/>
    <w:rsid w:val="00E36C35"/>
    <w:rsid w:val="00E37EA1"/>
    <w:rsid w:val="00E52112"/>
    <w:rsid w:val="00E74DE9"/>
    <w:rsid w:val="00EA42DC"/>
    <w:rsid w:val="00EB36A8"/>
    <w:rsid w:val="00ED29EE"/>
    <w:rsid w:val="00EE3A85"/>
    <w:rsid w:val="00EE69D8"/>
    <w:rsid w:val="00F042FD"/>
    <w:rsid w:val="00F16CA8"/>
    <w:rsid w:val="00F23D72"/>
    <w:rsid w:val="00F52966"/>
    <w:rsid w:val="00F53157"/>
    <w:rsid w:val="00F710B8"/>
    <w:rsid w:val="00F85A14"/>
    <w:rsid w:val="00F9225F"/>
    <w:rsid w:val="00FC6A45"/>
    <w:rsid w:val="00FD1923"/>
    <w:rsid w:val="00FF497F"/>
    <w:rsid w:val="00FF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711F5"/>
  <w15:chartTrackingRefBased/>
  <w15:docId w15:val="{E70D09A2-191D-4929-81AA-D4BF52AC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293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497F"/>
    <w:pPr>
      <w:keepNext/>
      <w:keepLines/>
      <w:spacing w:before="240" w:line="720" w:lineRule="auto"/>
      <w:outlineLvl w:val="0"/>
    </w:pPr>
    <w:rPr>
      <w:rFonts w:ascii="Cambria" w:eastAsiaTheme="majorEastAsia" w:hAnsi="Cambria" w:cstheme="majorBidi"/>
      <w:color w:val="2E74B5" w:themeColor="accent1" w:themeShade="B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71F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28071F"/>
    <w:rPr>
      <w:color w:val="0563C1" w:themeColor="hyperlink"/>
      <w:u w:val="single"/>
    </w:rPr>
  </w:style>
  <w:style w:type="paragraph" w:customStyle="1" w:styleId="bodytext">
    <w:name w:val="bodytext"/>
    <w:basedOn w:val="Normal"/>
    <w:rsid w:val="0028071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807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071F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07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071F"/>
    <w:rPr>
      <w:vertAlign w:val="superscript"/>
    </w:rPr>
  </w:style>
  <w:style w:type="table" w:styleId="TableGrid">
    <w:name w:val="Table Grid"/>
    <w:basedOn w:val="TableNormal"/>
    <w:uiPriority w:val="59"/>
    <w:rsid w:val="00444B56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907640"/>
  </w:style>
  <w:style w:type="paragraph" w:styleId="PlainText">
    <w:name w:val="Plain Text"/>
    <w:basedOn w:val="Normal"/>
    <w:link w:val="PlainTextChar"/>
    <w:uiPriority w:val="99"/>
    <w:semiHidden/>
    <w:unhideWhenUsed/>
    <w:rsid w:val="00B25ACE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5ACE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5135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5C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35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5C8"/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DD537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D537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A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A4A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uiPriority w:val="35"/>
    <w:unhideWhenUsed/>
    <w:qFormat/>
    <w:rsid w:val="00B12E1B"/>
    <w:pPr>
      <w:spacing w:after="200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F497F"/>
    <w:pPr>
      <w:contextualSpacing/>
    </w:pPr>
    <w:rPr>
      <w:rFonts w:ascii="Cambria" w:eastAsiaTheme="majorEastAsia" w:hAnsi="Cambria" w:cstheme="majorBidi"/>
      <w:color w:val="00206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97F"/>
    <w:rPr>
      <w:rFonts w:ascii="Cambria" w:eastAsiaTheme="majorEastAsia" w:hAnsi="Cambria" w:cstheme="majorBidi"/>
      <w:color w:val="002060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F497F"/>
    <w:rPr>
      <w:rFonts w:ascii="Cambria" w:eastAsiaTheme="majorEastAsia" w:hAnsi="Cambria" w:cstheme="majorBidi"/>
      <w:color w:val="2E74B5" w:themeColor="accent1" w:themeShade="BF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5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1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95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42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19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20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5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37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57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24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01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68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45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8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73B80-14F2-4BE3-84B3-41C59A77A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5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SlimaneTaleb, Zakia (AGDT)</dc:creator>
  <cp:keywords/>
  <dc:description/>
  <cp:lastModifiedBy>Francione, Gerardo (CBDT)</cp:lastModifiedBy>
  <cp:revision>72</cp:revision>
  <cp:lastPrinted>2018-11-20T09:27:00Z</cp:lastPrinted>
  <dcterms:created xsi:type="dcterms:W3CDTF">2018-11-14T13:01:00Z</dcterms:created>
  <dcterms:modified xsi:type="dcterms:W3CDTF">2018-11-20T09:33:00Z</dcterms:modified>
</cp:coreProperties>
</file>