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1984"/>
        <w:gridCol w:w="5245"/>
        <w:gridCol w:w="1843"/>
      </w:tblGrid>
      <w:tr w:rsidR="00C70E49" w:rsidRPr="00367598" w14:paraId="70B4B1C1" w14:textId="77777777" w:rsidTr="009A6B59">
        <w:tc>
          <w:tcPr>
            <w:tcW w:w="154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14:paraId="309B859F" w14:textId="62C427DE" w:rsidR="00C70E49" w:rsidRDefault="00C80976" w:rsidP="00E9280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2A21A0">
              <w:rPr>
                <w:rFonts w:ascii="Tahoma" w:hAnsi="Tahoma" w:cs="Tahoma"/>
                <w:b/>
                <w:color w:val="000000"/>
                <w:szCs w:val="18"/>
              </w:rPr>
              <w:t>GHS hazard classification for h</w:t>
            </w:r>
            <w:r w:rsidR="002A21A0" w:rsidRPr="002A21A0">
              <w:rPr>
                <w:rFonts w:ascii="Tahoma" w:hAnsi="Tahoma" w:cs="Tahoma"/>
                <w:b/>
                <w:color w:val="000000"/>
                <w:szCs w:val="18"/>
              </w:rPr>
              <w:t xml:space="preserve">ealth and </w:t>
            </w:r>
            <w:r w:rsidR="002A21A0">
              <w:rPr>
                <w:rFonts w:ascii="Tahoma" w:hAnsi="Tahoma" w:cs="Tahoma"/>
                <w:b/>
                <w:color w:val="000000"/>
                <w:szCs w:val="18"/>
              </w:rPr>
              <w:t>e</w:t>
            </w:r>
            <w:r w:rsidR="002A21A0" w:rsidRPr="002A21A0">
              <w:rPr>
                <w:rFonts w:ascii="Tahoma" w:hAnsi="Tahoma" w:cs="Tahoma"/>
                <w:b/>
                <w:color w:val="000000"/>
                <w:szCs w:val="18"/>
              </w:rPr>
              <w:t>nvironmen</w:t>
            </w:r>
            <w:r w:rsidR="002A21A0">
              <w:rPr>
                <w:rFonts w:ascii="Tahoma" w:hAnsi="Tahoma" w:cs="Tahoma"/>
                <w:b/>
                <w:color w:val="000000"/>
                <w:szCs w:val="18"/>
              </w:rPr>
              <w:t>t</w:t>
            </w:r>
            <w:r w:rsidR="00451029" w:rsidRPr="00451029">
              <w:rPr>
                <w:rFonts w:ascii="Tahoma" w:hAnsi="Tahoma" w:cs="Tahoma"/>
                <w:bCs/>
                <w:color w:val="000000"/>
                <w:sz w:val="12"/>
                <w:szCs w:val="8"/>
              </w:rPr>
              <w:t xml:space="preserve"> (v20240606)</w:t>
            </w:r>
          </w:p>
          <w:p w14:paraId="746CE699" w14:textId="23D15515" w:rsidR="002A21A0" w:rsidRDefault="002A21A0" w:rsidP="00E9280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Approach </w:t>
            </w:r>
            <w:r w:rsid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ii.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A21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Use of existing classifications of the active ingredient and co-formulants</w:t>
            </w:r>
          </w:p>
          <w:p w14:paraId="33CF0107" w14:textId="647C00F1" w:rsidR="00ED1B5C" w:rsidRDefault="00ED1B5C" w:rsidP="00E9280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Approach iii. – </w:t>
            </w:r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Classification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based on </w:t>
            </w:r>
            <w:proofErr w:type="spellStart"/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physico</w:t>
            </w:r>
            <w:proofErr w:type="spellEnd"/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-chemical and (eco-)toxicological data</w:t>
            </w:r>
          </w:p>
          <w:p w14:paraId="27A7F026" w14:textId="3F9323CB" w:rsidR="00A65C7A" w:rsidRPr="00A65C7A" w:rsidRDefault="00A65C7A" w:rsidP="00A65C7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A65C7A">
              <w:rPr>
                <w:rFonts w:ascii="Tahoma" w:hAnsi="Tahoma" w:cs="Tahoma"/>
                <w:b/>
                <w:color w:val="000000"/>
                <w:u w:val="single"/>
              </w:rPr>
              <w:t>Identification</w:t>
            </w:r>
            <w:r w:rsidR="00136961">
              <w:rPr>
                <w:rFonts w:ascii="Tahoma" w:hAnsi="Tahoma" w:cs="Tahoma"/>
                <w:b/>
                <w:color w:val="000000"/>
                <w:u w:val="single"/>
              </w:rPr>
              <w:t xml:space="preserve"> of the pesticide product and its components</w:t>
            </w:r>
          </w:p>
        </w:tc>
      </w:tr>
      <w:tr w:rsidR="00A554D1" w:rsidRPr="00367598" w14:paraId="2C674F5D" w14:textId="77777777" w:rsidTr="00C80009">
        <w:tc>
          <w:tcPr>
            <w:tcW w:w="6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1422B0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Product name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&amp; formulation type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A821" w14:textId="55165033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877C79" w14:textId="2ECAB994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N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83913B" w14:textId="142A0BB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Concentration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</w:r>
            <w:r w:rsidRPr="00A554D1">
              <w:rPr>
                <w:rFonts w:cs="Tahoma"/>
                <w:sz w:val="20"/>
                <w:szCs w:val="20"/>
              </w:rPr>
              <w:t>(g/kg or g/L)</w:t>
            </w:r>
          </w:p>
        </w:tc>
      </w:tr>
      <w:tr w:rsidR="00A76724" w:rsidRPr="00367598" w14:paraId="61386A9D" w14:textId="77777777" w:rsidTr="00C80009">
        <w:tc>
          <w:tcPr>
            <w:tcW w:w="63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5C6ED7" w14:textId="77777777" w:rsidR="00A76724" w:rsidRPr="00EC45E9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6FB78F8" w14:textId="77B0FD07" w:rsidR="00A76724" w:rsidRPr="00A554D1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A554D1">
              <w:rPr>
                <w:rFonts w:cs="Tahoma"/>
                <w:b/>
                <w:bCs/>
                <w:sz w:val="20"/>
                <w:szCs w:val="20"/>
              </w:rPr>
              <w:t>Active ingredient</w:t>
            </w:r>
            <w:r>
              <w:rPr>
                <w:rFonts w:cs="Tahoma"/>
                <w:b/>
                <w:bCs/>
                <w:sz w:val="20"/>
                <w:szCs w:val="20"/>
              </w:rPr>
              <w:t>(s)</w:t>
            </w:r>
            <w:r w:rsidRPr="00A554D1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0C6F18" w14:textId="148979A2" w:rsidR="00A76724" w:rsidRPr="00A554D1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14EF97" w14:textId="025514D2" w:rsidR="00A76724" w:rsidRPr="00CF7E70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76724" w:rsidRPr="00367598" w14:paraId="68A6B08E" w14:textId="77777777" w:rsidTr="00C80009">
        <w:tc>
          <w:tcPr>
            <w:tcW w:w="63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20E6C" w14:textId="77777777" w:rsidR="00A76724" w:rsidRPr="00EC45E9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13D5" w14:textId="77777777" w:rsidR="00A76724" w:rsidRPr="00A554D1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45C0F9" w14:textId="591A447F" w:rsidR="00A76724" w:rsidRPr="00A554D1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08EE31" w14:textId="77777777" w:rsidR="00A76724" w:rsidRPr="00CF7E70" w:rsidRDefault="00A76724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554D1" w:rsidRPr="00367598" w14:paraId="0207283D" w14:textId="77777777" w:rsidTr="00C80009">
        <w:tc>
          <w:tcPr>
            <w:tcW w:w="63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5F057E" w14:textId="4C61140F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15565E" w14:textId="77777777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A554D1">
              <w:rPr>
                <w:rFonts w:cs="Tahoma"/>
                <w:b/>
                <w:bCs/>
                <w:sz w:val="20"/>
                <w:szCs w:val="20"/>
              </w:rPr>
              <w:t>Co-formulants: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D4B747" w14:textId="11A99D3E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 w:rsidRPr="00A554D1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62814C" w14:textId="7A9DC38E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554D1" w:rsidRPr="00367598" w14:paraId="2652E86E" w14:textId="77777777" w:rsidTr="00C80009">
        <w:tc>
          <w:tcPr>
            <w:tcW w:w="63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6A19BE" w14:textId="7B8F13AA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Applicant: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6A5535" w14:textId="77777777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539B29" w14:textId="6EA58A40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 w:rsidRPr="00A554D1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74439F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554D1" w:rsidRPr="00367598" w14:paraId="74ACB11D" w14:textId="77777777" w:rsidTr="00C80009">
        <w:tc>
          <w:tcPr>
            <w:tcW w:w="63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20AC1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3336136" w14:textId="77777777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2518F3" w14:textId="236EFED5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 w:rsidRPr="00A554D1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3B154C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554D1" w:rsidRPr="00367598" w14:paraId="15DAA890" w14:textId="77777777" w:rsidTr="00C80009">
        <w:tc>
          <w:tcPr>
            <w:tcW w:w="63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8C8B47" w14:textId="61DD7DBD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Registration file number: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C7EB66" w14:textId="77777777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9E9945" w14:textId="5FD5D37A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 w:rsidRPr="00A554D1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6AD783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554D1" w:rsidRPr="00367598" w14:paraId="043C9B83" w14:textId="77777777" w:rsidTr="00C80009">
        <w:tc>
          <w:tcPr>
            <w:tcW w:w="63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5A683B" w14:textId="15CCF579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Reference country or database(s) of existing classifications: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5D6F50" w14:textId="77777777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840C4D" w14:textId="221FC1A1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 w:rsidRPr="00A554D1"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8E7AD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554D1" w:rsidRPr="00367598" w14:paraId="69AD2AE4" w14:textId="77777777" w:rsidTr="00C80009">
        <w:tc>
          <w:tcPr>
            <w:tcW w:w="63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C58A3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9134B7" w14:textId="77777777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A01F9B" w14:textId="2F468C3E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0"/>
                <w:szCs w:val="20"/>
              </w:rPr>
            </w:pPr>
            <w:r w:rsidRPr="00A554D1"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E94FF5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554D1" w:rsidRPr="00367598" w14:paraId="675FBAD5" w14:textId="77777777" w:rsidTr="00C80009">
        <w:tc>
          <w:tcPr>
            <w:tcW w:w="63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15C21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34E9" w14:textId="77777777" w:rsidR="00A554D1" w:rsidRPr="00A554D1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76BB" w14:textId="424D693A" w:rsidR="00A554D1" w:rsidRPr="002A21A0" w:rsidRDefault="00A554D1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  <w:t>[add more, if needed]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C498" w14:textId="77777777" w:rsidR="00A554D1" w:rsidRPr="00CF7E70" w:rsidRDefault="00A554D1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2A21A0" w:rsidRPr="00367598" w14:paraId="3EAF5A55" w14:textId="77777777" w:rsidTr="00C80009">
        <w:tc>
          <w:tcPr>
            <w:tcW w:w="6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A6472" w14:textId="5302BAE0" w:rsidR="002A21A0" w:rsidRDefault="002A21A0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Name of the assessor: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C37A4" w14:textId="2AC81185" w:rsidR="002A21A0" w:rsidRPr="00CF7E70" w:rsidRDefault="002A21A0" w:rsidP="002A21A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Date of the assessment:</w:t>
            </w:r>
          </w:p>
        </w:tc>
      </w:tr>
    </w:tbl>
    <w:p w14:paraId="679F67BA" w14:textId="77777777" w:rsidR="004B511E" w:rsidRDefault="004B511E" w:rsidP="004B511E">
      <w:pPr>
        <w:spacing w:after="0" w:line="240" w:lineRule="auto"/>
        <w:rPr>
          <w:sz w:val="14"/>
        </w:rPr>
      </w:pPr>
    </w:p>
    <w:p w14:paraId="6AF00D9B" w14:textId="77777777" w:rsidR="002A21A0" w:rsidRDefault="002A21A0" w:rsidP="004B511E">
      <w:pPr>
        <w:spacing w:after="0" w:line="240" w:lineRule="auto"/>
        <w:rPr>
          <w:sz w:val="14"/>
        </w:rPr>
      </w:pPr>
    </w:p>
    <w:p w14:paraId="3727664F" w14:textId="77777777" w:rsidR="002A21A0" w:rsidRDefault="002A21A0" w:rsidP="004B511E">
      <w:pPr>
        <w:spacing w:after="0" w:line="240" w:lineRule="auto"/>
        <w:rPr>
          <w:sz w:val="14"/>
        </w:rPr>
      </w:pPr>
    </w:p>
    <w:p w14:paraId="19B33A1D" w14:textId="77777777" w:rsidR="002A21A0" w:rsidRDefault="002A21A0" w:rsidP="004B511E">
      <w:pPr>
        <w:spacing w:after="0" w:line="240" w:lineRule="auto"/>
        <w:rPr>
          <w:sz w:val="14"/>
        </w:rPr>
      </w:pPr>
    </w:p>
    <w:p w14:paraId="3CBC7455" w14:textId="77777777" w:rsidR="002A21A0" w:rsidRDefault="002A21A0" w:rsidP="004B511E">
      <w:pPr>
        <w:spacing w:after="0" w:line="240" w:lineRule="auto"/>
        <w:rPr>
          <w:sz w:val="14"/>
        </w:rPr>
      </w:pPr>
    </w:p>
    <w:p w14:paraId="1CF6FAA8" w14:textId="43D7F587" w:rsidR="00A65C7A" w:rsidRDefault="00A65C7A">
      <w:pPr>
        <w:spacing w:after="0" w:line="240" w:lineRule="auto"/>
        <w:rPr>
          <w:sz w:val="14"/>
        </w:rPr>
      </w:pPr>
      <w:r>
        <w:rPr>
          <w:sz w:val="14"/>
        </w:rPr>
        <w:br w:type="page"/>
      </w:r>
    </w:p>
    <w:p w14:paraId="4EF31189" w14:textId="0D3491C2" w:rsidR="002A21A0" w:rsidRPr="00163E54" w:rsidRDefault="00136961" w:rsidP="00136961">
      <w:pPr>
        <w:spacing w:before="60" w:after="60" w:line="240" w:lineRule="auto"/>
        <w:ind w:left="142"/>
        <w:rPr>
          <w:color w:val="C00000"/>
          <w:sz w:val="20"/>
          <w:szCs w:val="32"/>
        </w:rPr>
      </w:pPr>
      <w:r w:rsidRPr="00163E54">
        <w:rPr>
          <w:b/>
          <w:bCs/>
          <w:color w:val="C00000"/>
          <w:sz w:val="20"/>
          <w:szCs w:val="32"/>
        </w:rPr>
        <w:lastRenderedPageBreak/>
        <w:t>Copy-paste</w:t>
      </w:r>
      <w:r w:rsidRPr="00163E54">
        <w:rPr>
          <w:color w:val="C00000"/>
          <w:sz w:val="20"/>
          <w:szCs w:val="32"/>
        </w:rPr>
        <w:t xml:space="preserve"> one set of green tables per substance</w:t>
      </w:r>
    </w:p>
    <w:p w14:paraId="28182E45" w14:textId="71FE7B12" w:rsidR="00136961" w:rsidRPr="00163E54" w:rsidRDefault="00136961" w:rsidP="00136961">
      <w:pPr>
        <w:spacing w:before="60" w:after="60" w:line="240" w:lineRule="auto"/>
        <w:ind w:left="142"/>
        <w:rPr>
          <w:b/>
          <w:bCs/>
          <w:color w:val="385623" w:themeColor="accent6" w:themeShade="80"/>
          <w:szCs w:val="36"/>
        </w:rPr>
      </w:pPr>
      <w:r w:rsidRPr="00163E54">
        <w:rPr>
          <w:b/>
          <w:bCs/>
          <w:color w:val="385623" w:themeColor="accent6" w:themeShade="80"/>
          <w:szCs w:val="36"/>
        </w:rPr>
        <w:sym w:font="Wingdings" w:char="F022"/>
      </w:r>
      <w:r w:rsidRPr="00163E54">
        <w:rPr>
          <w:b/>
          <w:bCs/>
          <w:color w:val="385623" w:themeColor="accent6" w:themeShade="80"/>
          <w:szCs w:val="36"/>
        </w:rPr>
        <w:t xml:space="preserve"> …….. </w:t>
      </w: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2"/>
        <w:gridCol w:w="7938"/>
      </w:tblGrid>
      <w:tr w:rsidR="00A65C7A" w:rsidRPr="00367598" w14:paraId="0A7ABD20" w14:textId="77777777" w:rsidTr="00136961">
        <w:tc>
          <w:tcPr>
            <w:tcW w:w="15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196CA8D" w14:textId="77777777" w:rsidR="00A65C7A" w:rsidRDefault="00A65C7A" w:rsidP="00F4728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GHS hazard classification for h</w:t>
            </w:r>
            <w:r w:rsidRPr="002A21A0">
              <w:rPr>
                <w:rFonts w:ascii="Tahoma" w:hAnsi="Tahoma" w:cs="Tahoma"/>
                <w:b/>
                <w:color w:val="000000"/>
                <w:szCs w:val="18"/>
              </w:rPr>
              <w:t xml:space="preserve">ealth and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e</w:t>
            </w:r>
            <w:r w:rsidRPr="002A21A0">
              <w:rPr>
                <w:rFonts w:ascii="Tahoma" w:hAnsi="Tahoma" w:cs="Tahoma"/>
                <w:b/>
                <w:color w:val="000000"/>
                <w:szCs w:val="18"/>
              </w:rPr>
              <w:t>nvironmen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t</w:t>
            </w:r>
          </w:p>
          <w:p w14:paraId="03A8F151" w14:textId="77777777" w:rsidR="00ED1B5C" w:rsidRPr="00ED1B5C" w:rsidRDefault="00ED1B5C" w:rsidP="00ED1B5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Approach ii. – Use of existing classifications of the active ingredient and co-formulants</w:t>
            </w:r>
          </w:p>
          <w:p w14:paraId="39855399" w14:textId="2D49D8A0" w:rsidR="00A65C7A" w:rsidRDefault="00ED1B5C" w:rsidP="00ED1B5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Approach iii. – Classification based on physi</w:t>
            </w:r>
            <w:r w:rsidR="001369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cal</w:t>
            </w:r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and (eco-)toxicological data</w:t>
            </w:r>
          </w:p>
          <w:p w14:paraId="2C010D41" w14:textId="2DF1BCE2" w:rsidR="00A65C7A" w:rsidRPr="00A65C7A" w:rsidRDefault="00A65C7A" w:rsidP="00F4728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A65C7A">
              <w:rPr>
                <w:rFonts w:ascii="Tahoma" w:hAnsi="Tahoma" w:cs="Tahoma"/>
                <w:b/>
                <w:color w:val="000000"/>
                <w:u w:val="single"/>
              </w:rPr>
              <w:t xml:space="preserve">Classification of active </w:t>
            </w:r>
            <w:r>
              <w:rPr>
                <w:rFonts w:ascii="Tahoma" w:hAnsi="Tahoma" w:cs="Tahoma"/>
                <w:b/>
                <w:color w:val="000000"/>
                <w:u w:val="single"/>
              </w:rPr>
              <w:t>ingredient</w:t>
            </w:r>
            <w:r w:rsidR="00136961">
              <w:rPr>
                <w:rFonts w:ascii="Tahoma" w:hAnsi="Tahoma" w:cs="Tahoma"/>
                <w:b/>
                <w:color w:val="000000"/>
                <w:u w:val="single"/>
              </w:rPr>
              <w:t>(s)and</w:t>
            </w:r>
            <w:r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  <w:r w:rsidRPr="00A65C7A">
              <w:rPr>
                <w:rFonts w:ascii="Tahoma" w:hAnsi="Tahoma" w:cs="Tahoma"/>
                <w:b/>
                <w:color w:val="000000"/>
                <w:u w:val="single"/>
              </w:rPr>
              <w:t>co-formulant</w:t>
            </w:r>
            <w:r w:rsidR="00136961">
              <w:rPr>
                <w:rFonts w:ascii="Tahoma" w:hAnsi="Tahoma" w:cs="Tahoma"/>
                <w:b/>
                <w:color w:val="000000"/>
                <w:u w:val="single"/>
              </w:rPr>
              <w:t>(s)</w:t>
            </w:r>
            <w:r w:rsidRPr="00A65C7A">
              <w:rPr>
                <w:rFonts w:ascii="Tahoma" w:hAnsi="Tahoma" w:cs="Tahoma"/>
                <w:b/>
                <w:color w:val="000000"/>
                <w:u w:val="single"/>
              </w:rPr>
              <w:t xml:space="preserve"> in the product</w:t>
            </w:r>
          </w:p>
          <w:p w14:paraId="50E55F02" w14:textId="1C3DA046" w:rsidR="00A65C7A" w:rsidRPr="00A65C7A" w:rsidRDefault="00A65C7A" w:rsidP="00F47283">
            <w:pPr>
              <w:pStyle w:val="ListParagraph"/>
              <w:spacing w:before="60" w:after="60" w:line="240" w:lineRule="auto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3E54">
              <w:rPr>
                <w:rFonts w:ascii="Tahoma" w:hAnsi="Tahoma" w:cs="Tahoma"/>
                <w:bCs/>
                <w:color w:val="C00000"/>
              </w:rPr>
              <w:t>One (1) table per substance</w:t>
            </w:r>
          </w:p>
        </w:tc>
      </w:tr>
      <w:tr w:rsidR="00A65C7A" w:rsidRPr="00CF7E70" w14:paraId="0741A2D4" w14:textId="77777777" w:rsidTr="004D64B8">
        <w:tc>
          <w:tcPr>
            <w:tcW w:w="7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2F99" w14:textId="46A4185D" w:rsidR="00A65C7A" w:rsidRPr="00CF7E70" w:rsidRDefault="00A65C7A" w:rsidP="00A31E0C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>
              <w:rPr>
                <w:rFonts w:cs="Tahoma"/>
                <w:b/>
                <w:bCs/>
                <w:sz w:val="20"/>
                <w:szCs w:val="20"/>
              </w:rPr>
              <w:t>Substance name: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DA862" w14:textId="51A8E867" w:rsidR="00A65C7A" w:rsidRPr="00CF7E70" w:rsidRDefault="00A65C7A" w:rsidP="00A31E0C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Substance ID number:</w:t>
            </w:r>
          </w:p>
        </w:tc>
      </w:tr>
      <w:tr w:rsidR="00A65C7A" w:rsidRPr="00CF7E70" w14:paraId="504EEB64" w14:textId="77777777" w:rsidTr="00C435EB">
        <w:tc>
          <w:tcPr>
            <w:tcW w:w="15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2EB04" w14:textId="75E55B7A" w:rsidR="00A65C7A" w:rsidRDefault="00A65C7A" w:rsidP="00A31E0C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A65C7A">
              <w:rPr>
                <w:b/>
                <w:bCs/>
                <w:sz w:val="20"/>
                <w:szCs w:val="20"/>
                <w:lang w:val="en-US"/>
              </w:rPr>
              <w:t>Substance concentration in product/mixture:</w:t>
            </w:r>
          </w:p>
        </w:tc>
      </w:tr>
    </w:tbl>
    <w:p w14:paraId="78B528DA" w14:textId="4029D26A" w:rsidR="00F47283" w:rsidRDefault="00F47283" w:rsidP="00F47283">
      <w:pPr>
        <w:spacing w:after="0" w:line="240" w:lineRule="auto"/>
      </w:pPr>
    </w:p>
    <w:tbl>
      <w:tblPr>
        <w:tblW w:w="154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842"/>
        <w:gridCol w:w="2835"/>
        <w:gridCol w:w="2021"/>
        <w:gridCol w:w="2375"/>
        <w:gridCol w:w="3259"/>
      </w:tblGrid>
      <w:tr w:rsidR="00A65C7A" w:rsidRPr="00CF7E70" w14:paraId="37562CF6" w14:textId="77777777" w:rsidTr="00136961">
        <w:trPr>
          <w:tblHeader/>
        </w:trPr>
        <w:tc>
          <w:tcPr>
            <w:tcW w:w="15470" w:type="dxa"/>
            <w:gridSpan w:val="6"/>
            <w:shd w:val="clear" w:color="auto" w:fill="C5E0B3" w:themeFill="accent6" w:themeFillTint="66"/>
          </w:tcPr>
          <w:p w14:paraId="0F25C729" w14:textId="36D73265" w:rsidR="00A65C7A" w:rsidRPr="00A65C7A" w:rsidRDefault="00F47283" w:rsidP="00F472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  <w:r w:rsidRPr="00F47283">
              <w:rPr>
                <w:b/>
                <w:bCs/>
                <w:smallCaps/>
                <w:lang w:val="en-US"/>
              </w:rPr>
              <w:t>2A.</w:t>
            </w:r>
            <w:r w:rsidRPr="00F47283">
              <w:rPr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r w:rsidR="00A65C7A" w:rsidRPr="00A65C7A">
              <w:rPr>
                <w:b/>
                <w:bCs/>
                <w:smallCaps/>
                <w:sz w:val="28"/>
                <w:szCs w:val="28"/>
                <w:lang w:val="en-US"/>
              </w:rPr>
              <w:t>Health classification</w:t>
            </w:r>
          </w:p>
        </w:tc>
      </w:tr>
      <w:tr w:rsidR="00C80009" w:rsidRPr="00C80009" w14:paraId="0A3E9324" w14:textId="77777777" w:rsidTr="00136961">
        <w:trPr>
          <w:tblHeader/>
        </w:trPr>
        <w:tc>
          <w:tcPr>
            <w:tcW w:w="3138" w:type="dxa"/>
            <w:vMerge w:val="restart"/>
            <w:shd w:val="clear" w:color="auto" w:fill="E2EFD9" w:themeFill="accent6" w:themeFillTint="33"/>
          </w:tcPr>
          <w:p w14:paraId="0F187772" w14:textId="075E1B06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Hazard class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</w:tcPr>
          <w:p w14:paraId="1511645F" w14:textId="57F8FEE2" w:rsidR="00C80009" w:rsidRPr="00C80009" w:rsidRDefault="00C80009" w:rsidP="00C8000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80009">
              <w:rPr>
                <w:b/>
                <w:bCs/>
                <w:sz w:val="20"/>
                <w:szCs w:val="20"/>
              </w:rPr>
              <w:t>Information from application/SDS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"/>
            </w:r>
            <w:r w:rsidRPr="00C80009">
              <w:rPr>
                <w:b/>
                <w:bCs/>
                <w:sz w:val="20"/>
                <w:szCs w:val="20"/>
              </w:rPr>
              <w:t xml:space="preserve"> </w:t>
            </w:r>
            <w:r w:rsidRPr="00857798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4396" w:type="dxa"/>
            <w:gridSpan w:val="2"/>
            <w:shd w:val="clear" w:color="auto" w:fill="E2EFD9" w:themeFill="accent6" w:themeFillTint="33"/>
          </w:tcPr>
          <w:p w14:paraId="735B16C6" w14:textId="1420140E" w:rsidR="00C80009" w:rsidRPr="00C80009" w:rsidRDefault="00C80009" w:rsidP="00C8000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from reference source</w:t>
            </w:r>
          </w:p>
        </w:tc>
        <w:tc>
          <w:tcPr>
            <w:tcW w:w="3259" w:type="dxa"/>
            <w:vMerge w:val="restart"/>
            <w:shd w:val="clear" w:color="auto" w:fill="E2EFD9" w:themeFill="accent6" w:themeFillTint="33"/>
          </w:tcPr>
          <w:p w14:paraId="0885A604" w14:textId="00E52ABA" w:rsidR="00C80009" w:rsidRP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Retained</w:t>
            </w:r>
            <w:r w:rsidRPr="00C80009">
              <w:rPr>
                <w:b/>
                <w:bCs/>
                <w:sz w:val="20"/>
                <w:szCs w:val="20"/>
              </w:rPr>
              <w:t xml:space="preserve"> substance classification and its justification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80009" w:rsidRPr="00CF7E70" w14:paraId="77F33E68" w14:textId="77777777" w:rsidTr="00136961">
        <w:tc>
          <w:tcPr>
            <w:tcW w:w="3138" w:type="dxa"/>
            <w:vMerge/>
            <w:shd w:val="clear" w:color="auto" w:fill="auto"/>
          </w:tcPr>
          <w:p w14:paraId="7708543E" w14:textId="02761707" w:rsidR="00C80009" w:rsidRPr="00A65C7A" w:rsidRDefault="00C80009" w:rsidP="00A31E0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1594D805" w14:textId="5160A81A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A65C7A">
              <w:rPr>
                <w:b/>
                <w:bCs/>
                <w:sz w:val="20"/>
                <w:szCs w:val="20"/>
                <w:lang w:val="en-US"/>
              </w:rPr>
              <w:t>Substance classification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2FF749" w14:textId="2A723738" w:rsidR="00C80009" w:rsidRPr="00A65C7A" w:rsidRDefault="00ED1B5C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Test result or c</w:t>
            </w:r>
            <w:r w:rsidR="00C80009">
              <w:rPr>
                <w:b/>
                <w:bCs/>
                <w:sz w:val="20"/>
                <w:szCs w:val="20"/>
              </w:rPr>
              <w:t xml:space="preserve">onverted point estimate </w:t>
            </w:r>
            <w:r>
              <w:rPr>
                <w:b/>
                <w:bCs/>
                <w:sz w:val="20"/>
                <w:szCs w:val="20"/>
              </w:rPr>
              <w:t xml:space="preserve">used for </w:t>
            </w:r>
            <w:r w:rsidR="00C80009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6D2E5939" w14:textId="6B63ED8A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A65C7A">
              <w:rPr>
                <w:b/>
                <w:bCs/>
                <w:sz w:val="20"/>
                <w:szCs w:val="20"/>
                <w:lang w:val="en-US"/>
              </w:rPr>
              <w:t>Substance classification</w:t>
            </w:r>
          </w:p>
        </w:tc>
        <w:tc>
          <w:tcPr>
            <w:tcW w:w="2375" w:type="dxa"/>
            <w:shd w:val="clear" w:color="auto" w:fill="E2EFD9" w:themeFill="accent6" w:themeFillTint="33"/>
          </w:tcPr>
          <w:p w14:paraId="2621D845" w14:textId="59122F5D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3259" w:type="dxa"/>
            <w:vMerge/>
            <w:shd w:val="clear" w:color="auto" w:fill="auto"/>
          </w:tcPr>
          <w:p w14:paraId="42A96778" w14:textId="6EEC3709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12D5D14C" w14:textId="77777777" w:rsidTr="00313644">
        <w:tc>
          <w:tcPr>
            <w:tcW w:w="3138" w:type="dxa"/>
            <w:shd w:val="clear" w:color="auto" w:fill="auto"/>
          </w:tcPr>
          <w:p w14:paraId="18E95F53" w14:textId="1B4351AD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Acute toxicity – </w:t>
            </w:r>
            <w:r w:rsidRPr="004D64B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Oral </w:t>
            </w:r>
          </w:p>
        </w:tc>
        <w:tc>
          <w:tcPr>
            <w:tcW w:w="1842" w:type="dxa"/>
            <w:shd w:val="clear" w:color="auto" w:fill="auto"/>
          </w:tcPr>
          <w:p w14:paraId="4BFAA26F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9364766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625E1468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4E41B964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4A72027A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462BD9D9" w14:textId="77777777" w:rsidTr="00313644">
        <w:tc>
          <w:tcPr>
            <w:tcW w:w="3138" w:type="dxa"/>
            <w:shd w:val="clear" w:color="auto" w:fill="auto"/>
          </w:tcPr>
          <w:p w14:paraId="55153824" w14:textId="2984D6A8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Acute toxicity – </w:t>
            </w:r>
            <w:r w:rsidRPr="004D64B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Dermal </w:t>
            </w:r>
          </w:p>
        </w:tc>
        <w:tc>
          <w:tcPr>
            <w:tcW w:w="1842" w:type="dxa"/>
            <w:shd w:val="clear" w:color="auto" w:fill="auto"/>
          </w:tcPr>
          <w:p w14:paraId="2A17B052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9D3FB33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0458C353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5C49FAED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1D2C43A5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4BBB7141" w14:textId="77777777" w:rsidTr="00313644">
        <w:tc>
          <w:tcPr>
            <w:tcW w:w="3138" w:type="dxa"/>
            <w:shd w:val="clear" w:color="auto" w:fill="auto"/>
          </w:tcPr>
          <w:p w14:paraId="3F6DE915" w14:textId="17C10E86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Acute toxicity – </w:t>
            </w:r>
            <w:r w:rsidRPr="004D64B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Inhalation</w:t>
            </w:r>
          </w:p>
        </w:tc>
        <w:tc>
          <w:tcPr>
            <w:tcW w:w="1842" w:type="dxa"/>
            <w:shd w:val="clear" w:color="auto" w:fill="auto"/>
          </w:tcPr>
          <w:p w14:paraId="76939E19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8250C43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60541E76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16217095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1BE8C432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4E222D1C" w14:textId="77777777" w:rsidTr="00313644">
        <w:tc>
          <w:tcPr>
            <w:tcW w:w="3138" w:type="dxa"/>
            <w:shd w:val="clear" w:color="auto" w:fill="auto"/>
          </w:tcPr>
          <w:p w14:paraId="70772324" w14:textId="1210CBF9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Skin corrosion/irritation</w:t>
            </w:r>
          </w:p>
        </w:tc>
        <w:tc>
          <w:tcPr>
            <w:tcW w:w="1842" w:type="dxa"/>
            <w:shd w:val="clear" w:color="auto" w:fill="auto"/>
          </w:tcPr>
          <w:p w14:paraId="258C0A99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7F666D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1A892B15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1B46830C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B1E2298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1998AA4D" w14:textId="77777777" w:rsidTr="00313644">
        <w:tc>
          <w:tcPr>
            <w:tcW w:w="3138" w:type="dxa"/>
            <w:shd w:val="clear" w:color="auto" w:fill="auto"/>
          </w:tcPr>
          <w:p w14:paraId="05AF5F6D" w14:textId="296DC0C3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Serious eye damage/eye irritation</w:t>
            </w:r>
          </w:p>
        </w:tc>
        <w:tc>
          <w:tcPr>
            <w:tcW w:w="1842" w:type="dxa"/>
            <w:shd w:val="clear" w:color="auto" w:fill="auto"/>
          </w:tcPr>
          <w:p w14:paraId="33EC9EBB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7924660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61A28D91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341DD276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71FCA16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5C0699B7" w14:textId="77777777" w:rsidTr="00313644">
        <w:tc>
          <w:tcPr>
            <w:tcW w:w="3138" w:type="dxa"/>
            <w:shd w:val="clear" w:color="auto" w:fill="auto"/>
          </w:tcPr>
          <w:p w14:paraId="681D85A9" w14:textId="5845C196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Respiratory or skin sensitization</w:t>
            </w:r>
          </w:p>
        </w:tc>
        <w:tc>
          <w:tcPr>
            <w:tcW w:w="1842" w:type="dxa"/>
            <w:shd w:val="clear" w:color="auto" w:fill="auto"/>
          </w:tcPr>
          <w:p w14:paraId="4F9D814E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876702A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22B9EB81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518C6B16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12F4FFD0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7DEB0AA3" w14:textId="77777777" w:rsidTr="00313644">
        <w:tc>
          <w:tcPr>
            <w:tcW w:w="3138" w:type="dxa"/>
            <w:shd w:val="clear" w:color="auto" w:fill="auto"/>
          </w:tcPr>
          <w:p w14:paraId="1D39CBD2" w14:textId="07207AC7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Germ cell mutagenicity</w:t>
            </w:r>
          </w:p>
        </w:tc>
        <w:tc>
          <w:tcPr>
            <w:tcW w:w="1842" w:type="dxa"/>
            <w:shd w:val="clear" w:color="auto" w:fill="auto"/>
          </w:tcPr>
          <w:p w14:paraId="4D4CF508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C610129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50763FC9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6379DD35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55281644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5FC8F393" w14:textId="77777777" w:rsidTr="00313644">
        <w:tc>
          <w:tcPr>
            <w:tcW w:w="3138" w:type="dxa"/>
            <w:shd w:val="clear" w:color="auto" w:fill="auto"/>
          </w:tcPr>
          <w:p w14:paraId="04DE3579" w14:textId="0412CB42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Carcinogenicity</w:t>
            </w:r>
          </w:p>
        </w:tc>
        <w:tc>
          <w:tcPr>
            <w:tcW w:w="1842" w:type="dxa"/>
            <w:shd w:val="clear" w:color="auto" w:fill="auto"/>
          </w:tcPr>
          <w:p w14:paraId="5BB60E7D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56BFB4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0505449F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36262E5A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1CCFB13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500F0D90" w14:textId="77777777" w:rsidTr="00313644">
        <w:tc>
          <w:tcPr>
            <w:tcW w:w="3138" w:type="dxa"/>
            <w:shd w:val="clear" w:color="auto" w:fill="auto"/>
          </w:tcPr>
          <w:p w14:paraId="62F5C5FF" w14:textId="28FA085C" w:rsidR="00C80009" w:rsidRPr="004D64B8" w:rsidRDefault="00C80009" w:rsidP="008577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Reproductive toxicity</w:t>
            </w:r>
          </w:p>
        </w:tc>
        <w:tc>
          <w:tcPr>
            <w:tcW w:w="1842" w:type="dxa"/>
            <w:shd w:val="clear" w:color="auto" w:fill="auto"/>
          </w:tcPr>
          <w:p w14:paraId="09B9A9CC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2B3A8A3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31595187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4A99797D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CD69B41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0BF1DD32" w14:textId="77777777" w:rsidTr="00313644">
        <w:tc>
          <w:tcPr>
            <w:tcW w:w="3138" w:type="dxa"/>
            <w:shd w:val="clear" w:color="auto" w:fill="auto"/>
          </w:tcPr>
          <w:p w14:paraId="5B551ACE" w14:textId="616B39B8" w:rsidR="00C80009" w:rsidRPr="004D64B8" w:rsidRDefault="00C80009" w:rsidP="00857798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Specific target organ toxicity (STOT) – Single exposure</w:t>
            </w:r>
          </w:p>
        </w:tc>
        <w:tc>
          <w:tcPr>
            <w:tcW w:w="1842" w:type="dxa"/>
            <w:shd w:val="clear" w:color="auto" w:fill="auto"/>
          </w:tcPr>
          <w:p w14:paraId="6AF23CA8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A0DE17B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31900D9E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7E672961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56AB7D46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1F12139A" w14:textId="77777777" w:rsidTr="00313644">
        <w:tc>
          <w:tcPr>
            <w:tcW w:w="3138" w:type="dxa"/>
            <w:shd w:val="clear" w:color="auto" w:fill="auto"/>
          </w:tcPr>
          <w:p w14:paraId="4C3CFA62" w14:textId="4BEAC390" w:rsidR="00C80009" w:rsidRPr="004D64B8" w:rsidRDefault="00C80009" w:rsidP="00857798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Specific target organ toxicity (STOT) – Repeated exposure</w:t>
            </w:r>
          </w:p>
        </w:tc>
        <w:tc>
          <w:tcPr>
            <w:tcW w:w="1842" w:type="dxa"/>
            <w:shd w:val="clear" w:color="auto" w:fill="auto"/>
          </w:tcPr>
          <w:p w14:paraId="5A5E65C8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737DDF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53B0DA82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42BB88DD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F7E65BF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80009" w:rsidRPr="00CF7E70" w14:paraId="6E86A654" w14:textId="77777777" w:rsidTr="00313644">
        <w:tc>
          <w:tcPr>
            <w:tcW w:w="3138" w:type="dxa"/>
            <w:shd w:val="clear" w:color="auto" w:fill="auto"/>
          </w:tcPr>
          <w:p w14:paraId="5BF78B76" w14:textId="5CA0C54D" w:rsidR="00C80009" w:rsidRPr="004D64B8" w:rsidRDefault="00C80009" w:rsidP="00857798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Aspiration hazard</w:t>
            </w:r>
          </w:p>
        </w:tc>
        <w:tc>
          <w:tcPr>
            <w:tcW w:w="1842" w:type="dxa"/>
            <w:shd w:val="clear" w:color="auto" w:fill="auto"/>
          </w:tcPr>
          <w:p w14:paraId="42AE0BE7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A0B752F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149B64DE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2879557E" w14:textId="77777777" w:rsidR="00C80009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51D18921" w14:textId="77777777" w:rsidR="00C80009" w:rsidRPr="00A65C7A" w:rsidRDefault="00C80009" w:rsidP="00C80009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7F2A667" w14:textId="558200F1" w:rsidR="00C80009" w:rsidRDefault="00C80009" w:rsidP="004D64B8">
      <w:pPr>
        <w:spacing w:after="0" w:line="240" w:lineRule="auto"/>
      </w:pP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842"/>
        <w:gridCol w:w="2835"/>
        <w:gridCol w:w="1985"/>
        <w:gridCol w:w="2411"/>
        <w:gridCol w:w="3259"/>
      </w:tblGrid>
      <w:tr w:rsidR="004D64B8" w:rsidRPr="00CF7E70" w14:paraId="300A5E82" w14:textId="77777777" w:rsidTr="00136961">
        <w:trPr>
          <w:tblHeader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792A680" w14:textId="30C83194" w:rsidR="004D64B8" w:rsidRPr="004D64B8" w:rsidRDefault="004D64B8" w:rsidP="004D64B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F47283">
              <w:rPr>
                <w:b/>
                <w:bCs/>
                <w:smallCaps/>
                <w:lang w:val="en-US"/>
              </w:rPr>
              <w:t>2</w:t>
            </w:r>
            <w:r>
              <w:rPr>
                <w:b/>
                <w:bCs/>
                <w:smallCaps/>
                <w:lang w:val="en-US"/>
              </w:rPr>
              <w:t>B</w:t>
            </w:r>
            <w:r w:rsidRPr="00F47283">
              <w:rPr>
                <w:b/>
                <w:bCs/>
                <w:smallCaps/>
                <w:lang w:val="en-US"/>
              </w:rPr>
              <w:t>.</w:t>
            </w:r>
            <w:r w:rsidRPr="00F47283">
              <w:rPr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8"/>
                <w:szCs w:val="28"/>
                <w:lang w:val="en-US"/>
              </w:rPr>
              <w:t>Environment</w:t>
            </w:r>
            <w:r w:rsidRPr="00A65C7A">
              <w:rPr>
                <w:b/>
                <w:bCs/>
                <w:smallCaps/>
                <w:sz w:val="28"/>
                <w:szCs w:val="28"/>
                <w:lang w:val="en-US"/>
              </w:rPr>
              <w:t xml:space="preserve"> classification</w:t>
            </w:r>
          </w:p>
        </w:tc>
      </w:tr>
      <w:tr w:rsidR="004D64B8" w:rsidRPr="00C80009" w14:paraId="0802445A" w14:textId="77777777" w:rsidTr="00136961">
        <w:trPr>
          <w:tblHeader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D86B2F" w14:textId="77777777" w:rsidR="004D64B8" w:rsidRDefault="004D64B8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Hazard class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94A844" w14:textId="77777777" w:rsidR="004D64B8" w:rsidRPr="00C80009" w:rsidRDefault="004D64B8" w:rsidP="00A31E0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80009">
              <w:rPr>
                <w:b/>
                <w:bCs/>
                <w:sz w:val="20"/>
                <w:szCs w:val="20"/>
              </w:rPr>
              <w:t>Information from application/SDS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3"/>
            </w:r>
            <w:r w:rsidRPr="00C80009">
              <w:rPr>
                <w:b/>
                <w:bCs/>
                <w:sz w:val="20"/>
                <w:szCs w:val="20"/>
              </w:rPr>
              <w:t xml:space="preserve"> </w:t>
            </w:r>
            <w:r w:rsidRPr="00857798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080966" w14:textId="77777777" w:rsidR="004D64B8" w:rsidRPr="00C80009" w:rsidRDefault="004D64B8" w:rsidP="00A31E0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from reference source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5D7FF1" w14:textId="77777777" w:rsidR="004D64B8" w:rsidRPr="00C80009" w:rsidRDefault="004D64B8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Retained</w:t>
            </w:r>
            <w:r w:rsidRPr="00C80009">
              <w:rPr>
                <w:b/>
                <w:bCs/>
                <w:sz w:val="20"/>
                <w:szCs w:val="20"/>
              </w:rPr>
              <w:t xml:space="preserve"> substance classification and its justification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4D64B8" w:rsidRPr="00CF7E70" w14:paraId="0BA038B4" w14:textId="77777777" w:rsidTr="00136961"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F7A7" w14:textId="77777777" w:rsidR="004D64B8" w:rsidRPr="00A65C7A" w:rsidRDefault="004D64B8" w:rsidP="00A31E0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9D9C09" w14:textId="77777777" w:rsidR="004D64B8" w:rsidRPr="00A65C7A" w:rsidRDefault="004D64B8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A65C7A">
              <w:rPr>
                <w:b/>
                <w:bCs/>
                <w:sz w:val="20"/>
                <w:szCs w:val="20"/>
                <w:lang w:val="en-US"/>
              </w:rPr>
              <w:t>Substance classification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77BAFE" w14:textId="7B69BD88" w:rsidR="004D64B8" w:rsidRPr="00A65C7A" w:rsidRDefault="00ED1B5C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Test result or converted point estimate used for  classification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4D852D" w14:textId="0058D805" w:rsidR="004D64B8" w:rsidRPr="00A65C7A" w:rsidRDefault="004D64B8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A65C7A">
              <w:rPr>
                <w:b/>
                <w:bCs/>
                <w:sz w:val="20"/>
                <w:szCs w:val="20"/>
                <w:lang w:val="en-US"/>
              </w:rPr>
              <w:t>Substance classification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FB0690" w14:textId="77777777" w:rsidR="004D64B8" w:rsidRPr="00A65C7A" w:rsidRDefault="004D64B8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7756B" w14:textId="77777777" w:rsidR="004D64B8" w:rsidRPr="00A65C7A" w:rsidRDefault="004D64B8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D64B8" w:rsidRPr="00CF7E70" w14:paraId="00B7CB7A" w14:textId="77777777" w:rsidTr="00313644"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C1906" w14:textId="692F8C38" w:rsidR="004D64B8" w:rsidRPr="004D64B8" w:rsidRDefault="004D64B8" w:rsidP="004D64B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Aquatic – acute toxicity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C789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B89C5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0A7B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E834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CC5B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D64B8" w:rsidRPr="00CF7E70" w14:paraId="75C470EA" w14:textId="77777777" w:rsidTr="00313644"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5CA15" w14:textId="383371C4" w:rsidR="004D64B8" w:rsidRPr="004D64B8" w:rsidRDefault="004D64B8" w:rsidP="004D64B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198"/>
              <w:contextualSpacing w:val="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  <w:t>Fish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5B66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403F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66723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F70AC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50D9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D64B8" w:rsidRPr="00CF7E70" w14:paraId="4F0A9935" w14:textId="77777777" w:rsidTr="00313644"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CA48" w14:textId="3F7FA261" w:rsidR="004D64B8" w:rsidRPr="004D64B8" w:rsidRDefault="004D64B8" w:rsidP="004D64B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198"/>
              <w:contextualSpacing w:val="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  <w:t>Aquatic invertebrates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8D6A4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2B0B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31A30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09170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81BAD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D64B8" w:rsidRPr="00CF7E70" w14:paraId="69E0843A" w14:textId="77777777" w:rsidTr="00313644"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6C87" w14:textId="26AFEAD1" w:rsidR="004D64B8" w:rsidRPr="004D64B8" w:rsidRDefault="004D64B8" w:rsidP="004D64B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198"/>
              <w:contextualSpacing w:val="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Algae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474ED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6191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9DDBB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C118C" w14:textId="77777777" w:rsidR="004D64B8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EDB2" w14:textId="77777777" w:rsidR="004D64B8" w:rsidRPr="00A65C7A" w:rsidRDefault="004D64B8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35EB" w:rsidRPr="00A65C7A" w14:paraId="7A5B9A35" w14:textId="77777777" w:rsidTr="0031364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1C16" w14:textId="1BB540BE" w:rsidR="00C435EB" w:rsidRPr="004D64B8" w:rsidRDefault="00C435EB" w:rsidP="004D64B8">
            <w:pPr>
              <w:pStyle w:val="ListParagraph"/>
              <w:spacing w:before="60" w:after="60" w:line="240" w:lineRule="auto"/>
              <w:ind w:left="198" w:hanging="198"/>
              <w:contextualSpacing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Aquatic – chronic toxicity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3F8C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6C99C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120CB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CB49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960E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35EB" w:rsidRPr="00A65C7A" w14:paraId="541687B1" w14:textId="77777777" w:rsidTr="0031364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EAA" w14:textId="77777777" w:rsidR="00C435EB" w:rsidRPr="004D64B8" w:rsidRDefault="00C435EB" w:rsidP="004D64B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198"/>
              <w:contextualSpacing w:val="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5D988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EB9B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971CC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8CCF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991AD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35EB" w:rsidRPr="00A65C7A" w14:paraId="5ECC584A" w14:textId="77777777" w:rsidTr="0031364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763A" w14:textId="77777777" w:rsidR="00C435EB" w:rsidRPr="004D64B8" w:rsidRDefault="00C435EB" w:rsidP="004D64B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198"/>
              <w:contextualSpacing w:val="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Aquatic invertebrates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4829C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781B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3910F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099A1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A3A1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35EB" w:rsidRPr="00A65C7A" w14:paraId="2667DF8F" w14:textId="77777777" w:rsidTr="0031364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F203" w14:textId="77777777" w:rsidR="00C435EB" w:rsidRPr="004D64B8" w:rsidRDefault="00C435EB" w:rsidP="004D64B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198"/>
              <w:contextualSpacing w:val="0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Algae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842D7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2591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3286E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2EE70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1F670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35EB" w:rsidRPr="00A65C7A" w14:paraId="51C8312A" w14:textId="77777777" w:rsidTr="0031364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495B" w14:textId="1A65652F" w:rsidR="00C435EB" w:rsidRPr="00C435EB" w:rsidRDefault="00C435EB" w:rsidP="00C435E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284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35E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Rapid degradability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D0CD7" w14:textId="222B9185" w:rsidR="00C435EB" w:rsidRPr="00A65C7A" w:rsidRDefault="00C435EB" w:rsidP="00C435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C435EB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</w:t>
            </w:r>
            <w:r w:rsidRPr="00C435EB">
              <w:rPr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25358" w14:textId="5A674CC0" w:rsidR="00C435EB" w:rsidRPr="00C435EB" w:rsidRDefault="00C435EB" w:rsidP="00C435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43C7F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1B2C5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41937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35EB" w:rsidRPr="00A65C7A" w14:paraId="48246F2B" w14:textId="77777777" w:rsidTr="0031364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D62C" w14:textId="02944418" w:rsidR="00C435EB" w:rsidRPr="00C435EB" w:rsidRDefault="00C435EB" w:rsidP="00C435E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98" w:hanging="284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35E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Bioaccumulation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34C5" w14:textId="39B953C4" w:rsidR="00C435EB" w:rsidRPr="00A65C7A" w:rsidRDefault="00C435EB" w:rsidP="00C435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C435EB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</w:t>
            </w:r>
            <w:r w:rsidRPr="00C435EB">
              <w:rPr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B3AC9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B2D54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6B01C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EC551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35EB" w:rsidRPr="00A65C7A" w14:paraId="7CF63A82" w14:textId="77777777" w:rsidTr="0031364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8CA0" w14:textId="00B02D4B" w:rsidR="00C435EB" w:rsidRPr="00C435EB" w:rsidRDefault="00C435EB" w:rsidP="00C435E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35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Hazardous to ozone layer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B9B4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F1797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8D698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D5DC9" w14:textId="77777777" w:rsidR="00C435EB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B651" w14:textId="77777777" w:rsidR="00C435EB" w:rsidRPr="00A65C7A" w:rsidRDefault="00C435EB" w:rsidP="004D64B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D849958" w14:textId="5217141E" w:rsidR="00136961" w:rsidRPr="00163E54" w:rsidRDefault="00136961" w:rsidP="00136961">
      <w:pPr>
        <w:spacing w:before="120" w:after="60" w:line="240" w:lineRule="auto"/>
        <w:ind w:left="142"/>
        <w:rPr>
          <w:b/>
          <w:bCs/>
          <w:color w:val="385623" w:themeColor="accent6" w:themeShade="80"/>
          <w:szCs w:val="36"/>
        </w:rPr>
      </w:pPr>
      <w:r w:rsidRPr="00163E54">
        <w:rPr>
          <w:b/>
          <w:bCs/>
          <w:color w:val="385623" w:themeColor="accent6" w:themeShade="80"/>
          <w:szCs w:val="36"/>
        </w:rPr>
        <w:t xml:space="preserve">…….. </w:t>
      </w:r>
      <w:r w:rsidRPr="00163E54">
        <w:rPr>
          <w:b/>
          <w:bCs/>
          <w:color w:val="385623" w:themeColor="accent6" w:themeShade="80"/>
          <w:szCs w:val="36"/>
        </w:rPr>
        <w:sym w:font="Wingdings" w:char="F022"/>
      </w:r>
    </w:p>
    <w:p w14:paraId="382C1093" w14:textId="77777777" w:rsidR="00136961" w:rsidRDefault="00136961" w:rsidP="004D64B8">
      <w:pPr>
        <w:rPr>
          <w:rFonts w:ascii="Tahoma" w:hAnsi="Tahoma" w:cs="Tahoma"/>
          <w:b/>
          <w:bCs/>
        </w:rPr>
      </w:pPr>
    </w:p>
    <w:tbl>
      <w:tblPr>
        <w:tblW w:w="154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0"/>
      </w:tblGrid>
      <w:tr w:rsidR="00814E01" w:rsidRPr="00A65C7A" w14:paraId="26B2E62A" w14:textId="77777777" w:rsidTr="00136961">
        <w:tc>
          <w:tcPr>
            <w:tcW w:w="15470" w:type="dxa"/>
            <w:shd w:val="clear" w:color="auto" w:fill="F7CAAC" w:themeFill="accent2" w:themeFillTint="66"/>
          </w:tcPr>
          <w:p w14:paraId="75807E30" w14:textId="77777777" w:rsidR="00814E01" w:rsidRDefault="00814E01" w:rsidP="00A31E0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GHS hazard classification for h</w:t>
            </w:r>
            <w:r w:rsidRPr="002A21A0">
              <w:rPr>
                <w:rFonts w:ascii="Tahoma" w:hAnsi="Tahoma" w:cs="Tahoma"/>
                <w:b/>
                <w:color w:val="000000"/>
                <w:szCs w:val="18"/>
              </w:rPr>
              <w:t xml:space="preserve">ealth and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e</w:t>
            </w:r>
            <w:r w:rsidRPr="002A21A0">
              <w:rPr>
                <w:rFonts w:ascii="Tahoma" w:hAnsi="Tahoma" w:cs="Tahoma"/>
                <w:b/>
                <w:color w:val="000000"/>
                <w:szCs w:val="18"/>
              </w:rPr>
              <w:t>nvironmen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t</w:t>
            </w:r>
          </w:p>
          <w:p w14:paraId="3D2A0CCB" w14:textId="77777777" w:rsidR="00313644" w:rsidRPr="00ED1B5C" w:rsidRDefault="00313644" w:rsidP="0031364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Approach ii. – Use of existing classifications of the active ingredient and co-formulants</w:t>
            </w:r>
          </w:p>
          <w:p w14:paraId="11398989" w14:textId="77777777" w:rsidR="00313644" w:rsidRDefault="00313644" w:rsidP="00313644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Approach iii. – Classification based on </w:t>
            </w:r>
            <w:proofErr w:type="spellStart"/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physico</w:t>
            </w:r>
            <w:proofErr w:type="spellEnd"/>
            <w:r w:rsidRPr="00ED1B5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-chemical and (eco-)toxicological data</w:t>
            </w:r>
          </w:p>
          <w:p w14:paraId="0E09BD61" w14:textId="4F218BDC" w:rsidR="00814E01" w:rsidRPr="002472BE" w:rsidRDefault="00814E01" w:rsidP="002472B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2472BE">
              <w:rPr>
                <w:rFonts w:ascii="Tahoma" w:hAnsi="Tahoma" w:cs="Tahoma"/>
                <w:b/>
                <w:color w:val="000000"/>
                <w:u w:val="single"/>
              </w:rPr>
              <w:t xml:space="preserve">Classification the </w:t>
            </w:r>
            <w:r w:rsidR="00ED1B5C">
              <w:rPr>
                <w:rFonts w:ascii="Tahoma" w:hAnsi="Tahoma" w:cs="Tahoma"/>
                <w:b/>
                <w:color w:val="000000"/>
                <w:u w:val="single"/>
              </w:rPr>
              <w:t xml:space="preserve">formulated </w:t>
            </w:r>
            <w:r w:rsidRPr="002472BE">
              <w:rPr>
                <w:rFonts w:ascii="Tahoma" w:hAnsi="Tahoma" w:cs="Tahoma"/>
                <w:b/>
                <w:color w:val="000000"/>
                <w:u w:val="single"/>
              </w:rPr>
              <w:t>product</w:t>
            </w:r>
          </w:p>
        </w:tc>
      </w:tr>
      <w:tr w:rsidR="00ED1B5C" w:rsidRPr="00CF7E70" w14:paraId="58C19164" w14:textId="77777777" w:rsidTr="00257F25">
        <w:tc>
          <w:tcPr>
            <w:tcW w:w="15470" w:type="dxa"/>
            <w:shd w:val="clear" w:color="auto" w:fill="auto"/>
          </w:tcPr>
          <w:p w14:paraId="58127FE6" w14:textId="76179080" w:rsidR="00ED1B5C" w:rsidRPr="00CF7E70" w:rsidRDefault="00ED1B5C" w:rsidP="00A31E0C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>
              <w:rPr>
                <w:rFonts w:cs="Tahoma"/>
                <w:b/>
                <w:bCs/>
                <w:sz w:val="20"/>
                <w:szCs w:val="20"/>
              </w:rPr>
              <w:t>Product name:</w:t>
            </w:r>
          </w:p>
        </w:tc>
      </w:tr>
    </w:tbl>
    <w:p w14:paraId="3C431B70" w14:textId="77777777" w:rsidR="00814E01" w:rsidRDefault="00814E01" w:rsidP="002472B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1545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1701"/>
        <w:gridCol w:w="1701"/>
        <w:gridCol w:w="1418"/>
        <w:gridCol w:w="1701"/>
        <w:gridCol w:w="1559"/>
        <w:gridCol w:w="1843"/>
      </w:tblGrid>
      <w:tr w:rsidR="00271D7B" w:rsidRPr="00A65C7A" w14:paraId="77BA1923" w14:textId="45359DEB" w:rsidTr="00136961">
        <w:tc>
          <w:tcPr>
            <w:tcW w:w="15451" w:type="dxa"/>
            <w:gridSpan w:val="9"/>
            <w:shd w:val="clear" w:color="auto" w:fill="FBE4D5" w:themeFill="accent2" w:themeFillTint="33"/>
          </w:tcPr>
          <w:p w14:paraId="34F82659" w14:textId="11BE119A" w:rsidR="00271D7B" w:rsidRDefault="00271D7B" w:rsidP="00A31E0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lang w:val="en-US"/>
              </w:rPr>
            </w:pPr>
            <w:r>
              <w:rPr>
                <w:b/>
                <w:bCs/>
                <w:smallCaps/>
                <w:lang w:val="en-US"/>
              </w:rPr>
              <w:t>3</w:t>
            </w:r>
            <w:r w:rsidRPr="00F47283">
              <w:rPr>
                <w:b/>
                <w:bCs/>
                <w:smallCaps/>
                <w:lang w:val="en-US"/>
              </w:rPr>
              <w:t>A.</w:t>
            </w:r>
            <w:r w:rsidRPr="00F47283">
              <w:rPr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r w:rsidRPr="00A65C7A">
              <w:rPr>
                <w:b/>
                <w:bCs/>
                <w:smallCaps/>
                <w:sz w:val="28"/>
                <w:szCs w:val="28"/>
                <w:lang w:val="en-US"/>
              </w:rPr>
              <w:t>Health classification</w:t>
            </w:r>
            <w:r w:rsidR="002A5F0A">
              <w:rPr>
                <w:b/>
                <w:bCs/>
                <w:smallCaps/>
                <w:sz w:val="28"/>
                <w:szCs w:val="28"/>
                <w:lang w:val="en-US"/>
              </w:rPr>
              <w:t xml:space="preserve"> – Product </w:t>
            </w:r>
          </w:p>
        </w:tc>
      </w:tr>
      <w:tr w:rsidR="000C3B95" w:rsidRPr="00A65C7A" w14:paraId="23A3FA12" w14:textId="2EE40657" w:rsidTr="00B34D03">
        <w:tc>
          <w:tcPr>
            <w:tcW w:w="1701" w:type="dxa"/>
            <w:vMerge w:val="restart"/>
            <w:shd w:val="clear" w:color="auto" w:fill="FBE4D5" w:themeFill="accent2" w:themeFillTint="33"/>
          </w:tcPr>
          <w:p w14:paraId="404851CB" w14:textId="5FB86D81" w:rsidR="000C3B95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Hazard class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3176C1A6" w14:textId="677E34F5" w:rsidR="000C3B95" w:rsidRPr="002472BE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472BE">
              <w:rPr>
                <w:b/>
                <w:bCs/>
                <w:sz w:val="20"/>
                <w:szCs w:val="20"/>
                <w:lang w:val="en-US"/>
              </w:rPr>
              <w:t>Proposed classification of the product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472BE">
              <w:rPr>
                <w:b/>
                <w:bCs/>
                <w:sz w:val="20"/>
                <w:szCs w:val="20"/>
                <w:lang w:val="en-US"/>
              </w:rPr>
              <w:t>from the application dossier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14:paraId="33EFBC2C" w14:textId="70BF94C7" w:rsidR="000C3B95" w:rsidRPr="00B57AFC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B57AFC">
              <w:rPr>
                <w:b/>
                <w:bCs/>
                <w:sz w:val="20"/>
                <w:szCs w:val="20"/>
              </w:rPr>
              <w:t>Product data from registration dossier or SDS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8080" w:type="dxa"/>
            <w:gridSpan w:val="5"/>
            <w:shd w:val="clear" w:color="auto" w:fill="FBE4D5" w:themeFill="accent2" w:themeFillTint="33"/>
          </w:tcPr>
          <w:p w14:paraId="261F8E54" w14:textId="38889667" w:rsidR="000C3B95" w:rsidRPr="002472BE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Classification based on substance data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7CD4018E" w14:textId="2505D688" w:rsidR="000C3B95" w:rsidRPr="002472BE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Retained</w:t>
            </w:r>
            <w:r w:rsidRPr="00C800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product </w:t>
            </w:r>
            <w:r w:rsidRPr="00C80009">
              <w:rPr>
                <w:b/>
                <w:bCs/>
                <w:sz w:val="20"/>
                <w:szCs w:val="20"/>
              </w:rPr>
              <w:t>classification and its justification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0C3B95" w:rsidRPr="00A65C7A" w14:paraId="12BD71AB" w14:textId="6C4CAF80" w:rsidTr="00B34D03">
        <w:tc>
          <w:tcPr>
            <w:tcW w:w="1701" w:type="dxa"/>
            <w:vMerge/>
            <w:shd w:val="clear" w:color="auto" w:fill="DEEAF6" w:themeFill="accent1" w:themeFillTint="33"/>
          </w:tcPr>
          <w:p w14:paraId="3CD47955" w14:textId="494B102D" w:rsidR="000C3B95" w:rsidRPr="00A65C7A" w:rsidRDefault="000C3B95" w:rsidP="00A31E0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3E3F8041" w14:textId="4AEC54CE" w:rsidR="000C3B95" w:rsidRPr="00A65C7A" w:rsidRDefault="000C3B95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2528174E" w14:textId="7E5A7ECE" w:rsidR="000C3B95" w:rsidRPr="00A65C7A" w:rsidRDefault="000C3B95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E12CF13" w14:textId="586B97A3" w:rsidR="000C3B95" w:rsidRPr="00A65C7A" w:rsidRDefault="00A363E6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Substance</w:t>
            </w:r>
            <w:r w:rsidR="00B34D03">
              <w:rPr>
                <w:b/>
                <w:bCs/>
                <w:sz w:val="20"/>
                <w:szCs w:val="20"/>
                <w:lang w:val="en-US"/>
              </w:rPr>
              <w:t xml:space="preserve"> name</w:t>
            </w:r>
            <w:r>
              <w:rPr>
                <w:rStyle w:val="FootnoteReference"/>
                <w:b/>
                <w:bCs/>
                <w:sz w:val="20"/>
                <w:szCs w:val="20"/>
                <w:lang w:val="en-US"/>
              </w:rPr>
              <w:footnoteReference w:id="7"/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D2BF308" w14:textId="7ABB0204" w:rsidR="000C3B95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LD</w:t>
            </w:r>
            <w:r w:rsidRPr="008F1505">
              <w:rPr>
                <w:b/>
                <w:bCs/>
                <w:sz w:val="20"/>
                <w:szCs w:val="20"/>
                <w:vertAlign w:val="subscript"/>
                <w:lang w:val="en-US"/>
              </w:rPr>
              <w:t>50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or </w:t>
            </w:r>
            <w:r w:rsidRPr="008F1505">
              <w:rPr>
                <w:b/>
                <w:bCs/>
                <w:sz w:val="20"/>
                <w:szCs w:val="20"/>
                <w:lang w:val="en-US"/>
              </w:rPr>
              <w:t>Converted acute toxicity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F1505">
              <w:rPr>
                <w:b/>
                <w:bCs/>
                <w:sz w:val="20"/>
                <w:szCs w:val="20"/>
                <w:lang w:val="en-US"/>
              </w:rPr>
              <w:t>point estimate</w:t>
            </w:r>
            <w:r w:rsidR="00A363E6">
              <w:rPr>
                <w:rStyle w:val="FootnoteReference"/>
                <w:b/>
                <w:bCs/>
                <w:sz w:val="20"/>
                <w:szCs w:val="20"/>
                <w:lang w:val="en-US"/>
              </w:rPr>
              <w:footnoteReference w:id="8"/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A30354D" w14:textId="73D17911" w:rsidR="000C3B95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Concentration in the product </w:t>
            </w:r>
            <w:r w:rsidRPr="00313644">
              <w:rPr>
                <w:sz w:val="20"/>
                <w:szCs w:val="20"/>
                <w:lang w:val="en-US"/>
              </w:rPr>
              <w:t>(%)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29EC72D" w14:textId="24B40BAA" w:rsidR="000C3B95" w:rsidRPr="00271D7B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271D7B">
              <w:rPr>
                <w:i/>
                <w:iCs/>
                <w:sz w:val="20"/>
                <w:szCs w:val="20"/>
                <w:lang w:val="en-US"/>
              </w:rPr>
              <w:t>Classification rules for the pesticide product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04BB076" w14:textId="4135E591" w:rsidR="000C3B95" w:rsidRPr="00A65C7A" w:rsidRDefault="000C3B95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Calculated classification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54F5B8B6" w14:textId="221F477A" w:rsidR="000C3B95" w:rsidRDefault="000C3B95" w:rsidP="00A31E0C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0C3B95" w:rsidRPr="00A65C7A" w14:paraId="3D5BDFE7" w14:textId="71BBF7A7" w:rsidTr="00B34D03">
        <w:trPr>
          <w:cantSplit/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08BE6C97" w14:textId="77777777" w:rsidR="000C3B95" w:rsidRPr="004D64B8" w:rsidRDefault="000C3B9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Acute toxicity – </w:t>
            </w:r>
            <w:r w:rsidRPr="004D64B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Oral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C588A91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BC88882" w14:textId="7D0D7B24" w:rsidR="000C3B95" w:rsidRPr="00A929DE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29C709" w14:textId="0E6ED241" w:rsidR="000C3B95" w:rsidRPr="00A363E6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1</w:t>
            </w:r>
            <w:r w:rsidR="00A363E6" w:rsidRPr="00A363E6">
              <w:rPr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</w:tcPr>
          <w:p w14:paraId="022FF070" w14:textId="77777777" w:rsidR="000C3B95" w:rsidRDefault="000C3B95" w:rsidP="0078586F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25BA0C1" w14:textId="77777777" w:rsidR="000C3B95" w:rsidRDefault="000C3B95" w:rsidP="0078586F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2D872B" w14:textId="16799BD3" w:rsidR="000C3B95" w:rsidRDefault="000C3B95" w:rsidP="0078586F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  <w:p w14:paraId="38C555A6" w14:textId="2672E7BE" w:rsidR="000C3B95" w:rsidRPr="008F1505" w:rsidRDefault="000C3B95" w:rsidP="0078586F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4461C1">
              <w:rPr>
                <w:i/>
                <w:iCs/>
                <w:sz w:val="18"/>
                <w:szCs w:val="18"/>
                <w:lang w:val="en-US"/>
              </w:rPr>
              <w:t>Calculat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e the </w:t>
            </w:r>
            <w:proofErr w:type="spellStart"/>
            <w:r w:rsidRPr="004461C1">
              <w:rPr>
                <w:i/>
                <w:iCs/>
                <w:sz w:val="18"/>
                <w:szCs w:val="18"/>
                <w:lang w:val="en-US"/>
              </w:rPr>
              <w:t>ATE</w:t>
            </w:r>
            <w:r>
              <w:rPr>
                <w:i/>
                <w:iCs/>
                <w:sz w:val="18"/>
                <w:szCs w:val="18"/>
                <w:lang w:val="en-US"/>
              </w:rPr>
              <w:t>mix</w:t>
            </w:r>
            <w:proofErr w:type="spellEnd"/>
            <w:r>
              <w:rPr>
                <w:i/>
                <w:iCs/>
                <w:sz w:val="18"/>
                <w:szCs w:val="18"/>
                <w:lang w:val="en-US"/>
              </w:rPr>
              <w:t xml:space="preserve"> using the rules and formula of section </w:t>
            </w:r>
            <w:r w:rsidRPr="004461C1">
              <w:rPr>
                <w:i/>
                <w:iCs/>
                <w:sz w:val="18"/>
                <w:szCs w:val="18"/>
                <w:lang w:val="en-US"/>
              </w:rPr>
              <w:t>3.1.3.6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461C1">
              <w:rPr>
                <w:i/>
                <w:iCs/>
                <w:sz w:val="18"/>
                <w:szCs w:val="18"/>
                <w:lang w:val="en-US"/>
              </w:rPr>
              <w:t xml:space="preserve">in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4461C1">
              <w:rPr>
                <w:i/>
                <w:iCs/>
                <w:sz w:val="18"/>
                <w:szCs w:val="18"/>
                <w:lang w:val="en-US"/>
              </w:rPr>
              <w:t>GHS</w:t>
            </w:r>
            <w:r>
              <w:rPr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3EF27CC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0C3B95">
              <w:rPr>
                <w:sz w:val="18"/>
                <w:szCs w:val="18"/>
                <w:lang w:val="en-US"/>
              </w:rPr>
              <w:t>ATEmix</w:t>
            </w:r>
            <w:proofErr w:type="spellEnd"/>
            <w:r w:rsidRPr="000C3B95">
              <w:rPr>
                <w:sz w:val="18"/>
                <w:szCs w:val="18"/>
                <w:lang w:val="en-US"/>
              </w:rPr>
              <w:t xml:space="preserve"> = </w:t>
            </w:r>
          </w:p>
          <w:p w14:paraId="72343D41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  <w:p w14:paraId="05738FAF" w14:textId="591EE3BE" w:rsidR="000C3B95" w:rsidRP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Classifies as:</w:t>
            </w:r>
          </w:p>
        </w:tc>
        <w:tc>
          <w:tcPr>
            <w:tcW w:w="1843" w:type="dxa"/>
            <w:vMerge w:val="restart"/>
          </w:tcPr>
          <w:p w14:paraId="5318C431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C3B95" w:rsidRPr="00A65C7A" w14:paraId="4EC7686B" w14:textId="782B75D2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1852CEFC" w14:textId="77777777" w:rsidR="000C3B95" w:rsidRPr="004D64B8" w:rsidRDefault="000C3B9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DB538B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20C599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497112" w14:textId="3F07EA80" w:rsidR="000C3B95" w:rsidRPr="00A363E6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2</w:t>
            </w:r>
            <w:r w:rsidR="00A363E6" w:rsidRPr="00A363E6">
              <w:rPr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</w:tcPr>
          <w:p w14:paraId="7F7ACAA5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AFA5B54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83AE5C" w14:textId="2032E14F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C4CBB3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3653FA51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C3B95" w:rsidRPr="00A65C7A" w14:paraId="5CB11190" w14:textId="4EB6C72C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615D16A2" w14:textId="77777777" w:rsidR="000C3B95" w:rsidRPr="004D64B8" w:rsidRDefault="000C3B9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3A2EF3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2801E9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DE151F" w14:textId="50C24D52" w:rsidR="000C3B95" w:rsidRPr="00A363E6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A363E6" w:rsidRPr="00A363E6">
              <w:rPr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</w:tcPr>
          <w:p w14:paraId="07AD9901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672ECCB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DD190F" w14:textId="518E983B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172346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503C357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C3B95" w:rsidRPr="00A65C7A" w14:paraId="7B93D901" w14:textId="0F9D055D" w:rsidTr="00B34D03">
        <w:trPr>
          <w:cantSplit/>
          <w:trHeight w:val="236"/>
        </w:trPr>
        <w:tc>
          <w:tcPr>
            <w:tcW w:w="1701" w:type="dxa"/>
            <w:vMerge/>
            <w:shd w:val="clear" w:color="auto" w:fill="auto"/>
          </w:tcPr>
          <w:p w14:paraId="2066EC91" w14:textId="77777777" w:rsidR="000C3B95" w:rsidRPr="004D64B8" w:rsidRDefault="000C3B9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8E323F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2A5DE0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601CB1" w14:textId="7F015B22" w:rsidR="000C3B95" w:rsidRPr="00A363E6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363E6" w:rsidRPr="00A363E6">
              <w:rPr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</w:tcPr>
          <w:p w14:paraId="20A8B2E8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3477531" w14:textId="77777777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395C43" w14:textId="445F337F" w:rsidR="000C3B95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954563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15E38D11" w14:textId="77777777" w:rsidR="000C3B95" w:rsidRPr="00A65C7A" w:rsidRDefault="000C3B9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41FE37A0" w14:textId="55A77534" w:rsidTr="00B34D03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14:paraId="08A964A8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Acute toxicity – </w:t>
            </w:r>
            <w:r w:rsidRPr="004D64B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Dermal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873C4C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0212374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59C592" w14:textId="1CB4FB9A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1:</w:t>
            </w:r>
          </w:p>
        </w:tc>
        <w:tc>
          <w:tcPr>
            <w:tcW w:w="1701" w:type="dxa"/>
          </w:tcPr>
          <w:p w14:paraId="09BE29CD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CC1F758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FD673B" w14:textId="3A0AD03A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C702223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0C3B95">
              <w:rPr>
                <w:sz w:val="18"/>
                <w:szCs w:val="18"/>
                <w:lang w:val="en-US"/>
              </w:rPr>
              <w:t>ATEmix</w:t>
            </w:r>
            <w:proofErr w:type="spellEnd"/>
            <w:r w:rsidRPr="000C3B95">
              <w:rPr>
                <w:sz w:val="18"/>
                <w:szCs w:val="18"/>
                <w:lang w:val="en-US"/>
              </w:rPr>
              <w:t xml:space="preserve"> = </w:t>
            </w:r>
          </w:p>
          <w:p w14:paraId="04DA6A2A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  <w:p w14:paraId="1C6DF935" w14:textId="4A2791BE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Classifies as:</w:t>
            </w:r>
          </w:p>
        </w:tc>
        <w:tc>
          <w:tcPr>
            <w:tcW w:w="1843" w:type="dxa"/>
            <w:vMerge w:val="restart"/>
          </w:tcPr>
          <w:p w14:paraId="1448364B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2A845E14" w14:textId="77777777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25555864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2CB930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93D82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495A41" w14:textId="32A6E390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2:</w:t>
            </w:r>
          </w:p>
        </w:tc>
        <w:tc>
          <w:tcPr>
            <w:tcW w:w="1701" w:type="dxa"/>
          </w:tcPr>
          <w:p w14:paraId="5C1821AA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4D05D7D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9F3902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5AEF32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1E973977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7ACD67ED" w14:textId="77777777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5333D801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285FE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0B1CC5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5B6D96" w14:textId="69B32468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3:</w:t>
            </w:r>
          </w:p>
        </w:tc>
        <w:tc>
          <w:tcPr>
            <w:tcW w:w="1701" w:type="dxa"/>
          </w:tcPr>
          <w:p w14:paraId="4887D9ED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EC0290C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F383EE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1921BF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20305F86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0F7D7266" w14:textId="77777777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28749182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FEEA9E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7B6054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2B4171" w14:textId="4D91FE5B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…:</w:t>
            </w:r>
          </w:p>
        </w:tc>
        <w:tc>
          <w:tcPr>
            <w:tcW w:w="1701" w:type="dxa"/>
          </w:tcPr>
          <w:p w14:paraId="0E7A7E78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C528316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7B8D07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DE1B90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3DD42ADF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7EF3D343" w14:textId="31578C07" w:rsidTr="00B34D03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14:paraId="50A8D901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Acute toxicity – </w:t>
            </w:r>
            <w:r w:rsidRPr="004D64B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Inhalation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99DA12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4FD528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B139AC" w14:textId="3C699261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1:</w:t>
            </w:r>
          </w:p>
        </w:tc>
        <w:tc>
          <w:tcPr>
            <w:tcW w:w="1701" w:type="dxa"/>
          </w:tcPr>
          <w:p w14:paraId="0D7DA22C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D86B9F2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FE42AA" w14:textId="4BE31CEF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B0F009C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0C3B95">
              <w:rPr>
                <w:sz w:val="18"/>
                <w:szCs w:val="18"/>
                <w:lang w:val="en-US"/>
              </w:rPr>
              <w:t>ATEmix</w:t>
            </w:r>
            <w:proofErr w:type="spellEnd"/>
            <w:r w:rsidRPr="000C3B95">
              <w:rPr>
                <w:sz w:val="18"/>
                <w:szCs w:val="18"/>
                <w:lang w:val="en-US"/>
              </w:rPr>
              <w:t xml:space="preserve"> = </w:t>
            </w:r>
          </w:p>
          <w:p w14:paraId="399751AA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  <w:p w14:paraId="38506307" w14:textId="7D24BD4C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Classifies as:</w:t>
            </w:r>
          </w:p>
        </w:tc>
        <w:tc>
          <w:tcPr>
            <w:tcW w:w="1843" w:type="dxa"/>
            <w:vMerge w:val="restart"/>
          </w:tcPr>
          <w:p w14:paraId="06A3A58A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59670EFF" w14:textId="77777777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119AC2C3" w14:textId="77777777" w:rsidR="000A7159" w:rsidRPr="004D64B8" w:rsidRDefault="000A7159" w:rsidP="000A715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2E730D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00AD1E" w14:textId="77777777" w:rsidR="000A7159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FE00E2" w14:textId="51402276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2:</w:t>
            </w:r>
          </w:p>
        </w:tc>
        <w:tc>
          <w:tcPr>
            <w:tcW w:w="1701" w:type="dxa"/>
          </w:tcPr>
          <w:p w14:paraId="4574C5A7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BCF728F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6A9816" w14:textId="77777777" w:rsidR="000A7159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59706A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163A65FB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4715A6FC" w14:textId="77777777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5B82473F" w14:textId="77777777" w:rsidR="000A7159" w:rsidRPr="004D64B8" w:rsidRDefault="000A7159" w:rsidP="000A715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F41640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067156" w14:textId="77777777" w:rsidR="000A7159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36D327" w14:textId="0381A1C9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3:</w:t>
            </w:r>
          </w:p>
        </w:tc>
        <w:tc>
          <w:tcPr>
            <w:tcW w:w="1701" w:type="dxa"/>
          </w:tcPr>
          <w:p w14:paraId="2E4F29A7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DFDC522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807E8B" w14:textId="77777777" w:rsidR="000A7159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3887F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0181620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035C97B3" w14:textId="77777777" w:rsidTr="00B34D03">
        <w:trPr>
          <w:cantSplit/>
        </w:trPr>
        <w:tc>
          <w:tcPr>
            <w:tcW w:w="1701" w:type="dxa"/>
            <w:vMerge/>
            <w:shd w:val="clear" w:color="auto" w:fill="auto"/>
          </w:tcPr>
          <w:p w14:paraId="24DD3B17" w14:textId="77777777" w:rsidR="000A7159" w:rsidRPr="004D64B8" w:rsidRDefault="000A7159" w:rsidP="000A715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309A3A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9977BE" w14:textId="77777777" w:rsidR="000A7159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93713E" w14:textId="6AC8F26C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…:</w:t>
            </w:r>
          </w:p>
        </w:tc>
        <w:tc>
          <w:tcPr>
            <w:tcW w:w="1701" w:type="dxa"/>
          </w:tcPr>
          <w:p w14:paraId="0E6C1A5D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43C1628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2AFB75" w14:textId="77777777" w:rsidR="000A7159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FDAC2B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0DC2C06C" w14:textId="77777777" w:rsidR="000A7159" w:rsidRPr="00A65C7A" w:rsidRDefault="000A7159" w:rsidP="000A7159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51C1979" w14:textId="2209DEAC" w:rsidR="005F6140" w:rsidRDefault="005F6140" w:rsidP="008971D8">
      <w:pPr>
        <w:spacing w:after="0" w:line="240" w:lineRule="auto"/>
      </w:pPr>
    </w:p>
    <w:tbl>
      <w:tblPr>
        <w:tblW w:w="1545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2126"/>
        <w:gridCol w:w="2127"/>
        <w:gridCol w:w="1984"/>
        <w:gridCol w:w="1418"/>
        <w:gridCol w:w="2126"/>
      </w:tblGrid>
      <w:tr w:rsidR="005F6140" w14:paraId="1DD5BE39" w14:textId="77777777" w:rsidTr="00136961">
        <w:tc>
          <w:tcPr>
            <w:tcW w:w="15451" w:type="dxa"/>
            <w:gridSpan w:val="8"/>
            <w:shd w:val="clear" w:color="auto" w:fill="F7CAAC" w:themeFill="accent2" w:themeFillTint="66"/>
          </w:tcPr>
          <w:p w14:paraId="67D2D22C" w14:textId="45FE844F" w:rsidR="005F6140" w:rsidRDefault="005F6140" w:rsidP="003F1A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lang w:val="en-US"/>
              </w:rPr>
            </w:pPr>
            <w:r>
              <w:rPr>
                <w:b/>
                <w:bCs/>
                <w:smallCaps/>
                <w:lang w:val="en-US"/>
              </w:rPr>
              <w:t>3</w:t>
            </w:r>
            <w:r w:rsidRPr="00F47283">
              <w:rPr>
                <w:b/>
                <w:bCs/>
                <w:smallCaps/>
                <w:lang w:val="en-US"/>
              </w:rPr>
              <w:t>A.</w:t>
            </w:r>
            <w:r w:rsidRPr="00F47283">
              <w:rPr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r w:rsidRPr="00A65C7A">
              <w:rPr>
                <w:b/>
                <w:bCs/>
                <w:smallCaps/>
                <w:sz w:val="28"/>
                <w:szCs w:val="28"/>
                <w:lang w:val="en-US"/>
              </w:rPr>
              <w:t>Health classification</w:t>
            </w:r>
            <w:r w:rsidR="002A5F0A">
              <w:rPr>
                <w:b/>
                <w:bCs/>
                <w:smallCaps/>
                <w:sz w:val="28"/>
                <w:szCs w:val="28"/>
                <w:lang w:val="en-US"/>
              </w:rPr>
              <w:t xml:space="preserve"> – Product</w:t>
            </w:r>
          </w:p>
        </w:tc>
      </w:tr>
      <w:tr w:rsidR="000A7159" w:rsidRPr="002472BE" w14:paraId="5984EBDF" w14:textId="77777777" w:rsidTr="00B1067E">
        <w:tc>
          <w:tcPr>
            <w:tcW w:w="1985" w:type="dxa"/>
            <w:vMerge w:val="restart"/>
            <w:shd w:val="clear" w:color="auto" w:fill="FBE4D5" w:themeFill="accent2" w:themeFillTint="33"/>
          </w:tcPr>
          <w:p w14:paraId="2BEF5B30" w14:textId="77777777" w:rsidR="000A7159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Hazard class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</w:tcPr>
          <w:p w14:paraId="188A090C" w14:textId="6E7FF38D" w:rsidR="000A7159" w:rsidRPr="002472BE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472BE">
              <w:rPr>
                <w:b/>
                <w:bCs/>
                <w:sz w:val="20"/>
                <w:szCs w:val="20"/>
                <w:lang w:val="en-US"/>
              </w:rPr>
              <w:t>Proposed classification of the product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472BE">
              <w:rPr>
                <w:b/>
                <w:bCs/>
                <w:sz w:val="20"/>
                <w:szCs w:val="20"/>
                <w:lang w:val="en-US"/>
              </w:rPr>
              <w:t>from the application dossier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14:paraId="0289C537" w14:textId="4249F7FC" w:rsidR="000A7159" w:rsidRPr="00B57AFC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B57AFC">
              <w:rPr>
                <w:b/>
                <w:bCs/>
                <w:sz w:val="20"/>
                <w:szCs w:val="20"/>
              </w:rPr>
              <w:t>Product data from registration dossier or SDS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7655" w:type="dxa"/>
            <w:gridSpan w:val="4"/>
            <w:shd w:val="clear" w:color="auto" w:fill="FBE4D5" w:themeFill="accent2" w:themeFillTint="33"/>
          </w:tcPr>
          <w:p w14:paraId="7A5F76C4" w14:textId="77777777" w:rsidR="000A7159" w:rsidRPr="002472BE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Classification based on substance data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3B5C285B" w14:textId="77777777" w:rsidR="000A7159" w:rsidRPr="002472BE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Retained</w:t>
            </w:r>
            <w:r w:rsidRPr="00C800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product </w:t>
            </w:r>
            <w:r w:rsidRPr="00C80009">
              <w:rPr>
                <w:b/>
                <w:bCs/>
                <w:sz w:val="20"/>
                <w:szCs w:val="20"/>
              </w:rPr>
              <w:t>classification and its justification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0A7159" w:rsidRPr="002472BE" w14:paraId="04F4B15B" w14:textId="77777777" w:rsidTr="00B1067E">
        <w:tc>
          <w:tcPr>
            <w:tcW w:w="1985" w:type="dxa"/>
            <w:vMerge/>
            <w:shd w:val="clear" w:color="auto" w:fill="DEEAF6" w:themeFill="accent1" w:themeFillTint="33"/>
          </w:tcPr>
          <w:p w14:paraId="28A17AAC" w14:textId="77777777" w:rsidR="000A7159" w:rsidRDefault="000A7159" w:rsidP="00A363E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14:paraId="55EBE416" w14:textId="77777777" w:rsidR="000A7159" w:rsidRPr="002472BE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559A0465" w14:textId="77777777" w:rsidR="000A7159" w:rsidRPr="00B57AFC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775A76CF" w14:textId="650E6031" w:rsidR="000A7159" w:rsidRDefault="00B1067E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Substances in c</w:t>
            </w:r>
            <w:r w:rsidR="000A7159">
              <w:rPr>
                <w:b/>
                <w:bCs/>
                <w:sz w:val="20"/>
                <w:szCs w:val="20"/>
              </w:rPr>
              <w:t>ategory or sub category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6500430B" w14:textId="5ADE4A6E" w:rsidR="000A7159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8971D8">
              <w:rPr>
                <w:b/>
                <w:bCs/>
                <w:sz w:val="20"/>
                <w:szCs w:val="20"/>
                <w:lang w:val="en-US"/>
              </w:rPr>
              <w:t xml:space="preserve">Sum of concentrations of </w:t>
            </w:r>
            <w:r>
              <w:rPr>
                <w:b/>
                <w:bCs/>
                <w:sz w:val="20"/>
                <w:szCs w:val="20"/>
                <w:lang w:val="en-US"/>
              </w:rPr>
              <w:t>relevant</w:t>
            </w:r>
            <w:r w:rsidRPr="008971D8">
              <w:rPr>
                <w:b/>
                <w:bCs/>
                <w:sz w:val="20"/>
                <w:szCs w:val="20"/>
                <w:lang w:val="en-US"/>
              </w:rPr>
              <w:t xml:space="preserve"> substance(s) classified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in each category </w:t>
            </w:r>
            <w:r w:rsidRPr="000A7159">
              <w:rPr>
                <w:sz w:val="20"/>
                <w:szCs w:val="20"/>
                <w:lang w:val="en-US"/>
              </w:rPr>
              <w:t>(%)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A6A4A46" w14:textId="0AB9D34E" w:rsidR="000A7159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271D7B">
              <w:rPr>
                <w:i/>
                <w:iCs/>
                <w:sz w:val="20"/>
                <w:szCs w:val="20"/>
                <w:lang w:val="en-US"/>
              </w:rPr>
              <w:t>Classification rules for the pesticide product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0A77FD2" w14:textId="2AE840D9" w:rsidR="000A7159" w:rsidRDefault="000A7159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Calculated classification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4DF48B3" w14:textId="77777777" w:rsidR="000A7159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0A7159" w:rsidRPr="00A65C7A" w14:paraId="2551CE4E" w14:textId="4F124D10" w:rsidTr="00B1067E">
        <w:tc>
          <w:tcPr>
            <w:tcW w:w="1985" w:type="dxa"/>
            <w:vMerge w:val="restart"/>
            <w:shd w:val="clear" w:color="auto" w:fill="auto"/>
          </w:tcPr>
          <w:p w14:paraId="6AFCBBBB" w14:textId="037F34C3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Skin corrosion/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irritation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CBAE1A7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86FB317" w14:textId="3A44979F" w:rsidR="000A7159" w:rsidRPr="00A929DE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3630BA" w14:textId="0AA56542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3E6">
              <w:rPr>
                <w:sz w:val="20"/>
                <w:szCs w:val="20"/>
              </w:rPr>
              <w:t>1:</w:t>
            </w:r>
          </w:p>
        </w:tc>
        <w:tc>
          <w:tcPr>
            <w:tcW w:w="2127" w:type="dxa"/>
          </w:tcPr>
          <w:p w14:paraId="332FC1D6" w14:textId="1CDA3CF9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9F83254" w14:textId="1FD139A5" w:rsidR="000A7159" w:rsidRP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3.2.3.3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of the GHS.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AF836D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0C2345EB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1DEA24CA" w14:textId="403DF973" w:rsidTr="00B1067E">
        <w:tc>
          <w:tcPr>
            <w:tcW w:w="1985" w:type="dxa"/>
            <w:vMerge/>
            <w:shd w:val="clear" w:color="auto" w:fill="auto"/>
          </w:tcPr>
          <w:p w14:paraId="4936E2D5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A8DB52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F2BFBE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B2A588" w14:textId="062A460F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3E6">
              <w:rPr>
                <w:sz w:val="20"/>
                <w:szCs w:val="20"/>
              </w:rPr>
              <w:t>1A:</w:t>
            </w:r>
          </w:p>
        </w:tc>
        <w:tc>
          <w:tcPr>
            <w:tcW w:w="2127" w:type="dxa"/>
          </w:tcPr>
          <w:p w14:paraId="16970AB3" w14:textId="7B61DC38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850D26" w14:textId="0FF68399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56543B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249789A5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6CD04CA3" w14:textId="648842C0" w:rsidTr="00B1067E">
        <w:tc>
          <w:tcPr>
            <w:tcW w:w="1985" w:type="dxa"/>
            <w:vMerge/>
            <w:shd w:val="clear" w:color="auto" w:fill="auto"/>
          </w:tcPr>
          <w:p w14:paraId="6C244ACE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56ADB5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52CFBE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F8A7CD" w14:textId="676F9531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3E6">
              <w:rPr>
                <w:sz w:val="20"/>
                <w:szCs w:val="20"/>
              </w:rPr>
              <w:t>1B:</w:t>
            </w:r>
          </w:p>
        </w:tc>
        <w:tc>
          <w:tcPr>
            <w:tcW w:w="2127" w:type="dxa"/>
          </w:tcPr>
          <w:p w14:paraId="0DB45361" w14:textId="744A4049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4A6660" w14:textId="3B82383D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4630F1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5A75A859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51655375" w14:textId="6EC84E0C" w:rsidTr="00B1067E">
        <w:tc>
          <w:tcPr>
            <w:tcW w:w="1985" w:type="dxa"/>
            <w:vMerge/>
            <w:shd w:val="clear" w:color="auto" w:fill="auto"/>
          </w:tcPr>
          <w:p w14:paraId="688061B5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31486E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B4581D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A51432" w14:textId="3EBB728F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3E6">
              <w:rPr>
                <w:sz w:val="20"/>
                <w:szCs w:val="20"/>
              </w:rPr>
              <w:t>1C:</w:t>
            </w:r>
          </w:p>
        </w:tc>
        <w:tc>
          <w:tcPr>
            <w:tcW w:w="2127" w:type="dxa"/>
          </w:tcPr>
          <w:p w14:paraId="524998B3" w14:textId="5F9118BE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049CD4" w14:textId="59EF7432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01429D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15671BE5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2CB57F04" w14:textId="2FA5EBA5" w:rsidTr="00B1067E">
        <w:tc>
          <w:tcPr>
            <w:tcW w:w="1985" w:type="dxa"/>
            <w:vMerge/>
            <w:shd w:val="clear" w:color="auto" w:fill="auto"/>
          </w:tcPr>
          <w:p w14:paraId="4C4195EB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212C98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87CFE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9FD179" w14:textId="3826B828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3E6">
              <w:rPr>
                <w:sz w:val="20"/>
                <w:szCs w:val="20"/>
              </w:rPr>
              <w:t>2:</w:t>
            </w:r>
          </w:p>
        </w:tc>
        <w:tc>
          <w:tcPr>
            <w:tcW w:w="2127" w:type="dxa"/>
          </w:tcPr>
          <w:p w14:paraId="372B12C9" w14:textId="5C6F2456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33E772" w14:textId="6C73F280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42EE1D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0B4DEF6A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0D89398B" w14:textId="47E65A26" w:rsidTr="00B1067E">
        <w:tc>
          <w:tcPr>
            <w:tcW w:w="1985" w:type="dxa"/>
            <w:vMerge/>
            <w:shd w:val="clear" w:color="auto" w:fill="auto"/>
          </w:tcPr>
          <w:p w14:paraId="49FFBFBA" w14:textId="77777777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36B2865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F9A51F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408EF9" w14:textId="4073B910" w:rsidR="000A7159" w:rsidRPr="00A363E6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3E6">
              <w:rPr>
                <w:sz w:val="20"/>
                <w:szCs w:val="20"/>
              </w:rPr>
              <w:t>3:</w:t>
            </w:r>
          </w:p>
        </w:tc>
        <w:tc>
          <w:tcPr>
            <w:tcW w:w="2127" w:type="dxa"/>
          </w:tcPr>
          <w:p w14:paraId="627928D6" w14:textId="2ED1E5FD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B9B1E9" w14:textId="0A7C6D48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EB0E1D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6B1D36D3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1A9C41CD" w14:textId="5ACD2061" w:rsidTr="00B1067E">
        <w:tc>
          <w:tcPr>
            <w:tcW w:w="1985" w:type="dxa"/>
            <w:vMerge w:val="restart"/>
            <w:shd w:val="clear" w:color="auto" w:fill="auto"/>
          </w:tcPr>
          <w:p w14:paraId="4E645AC8" w14:textId="4217BDBC" w:rsidR="000A7159" w:rsidRPr="004D64B8" w:rsidRDefault="000A7159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Serious eye damage/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eye irritation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AFB7954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C6A8115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E6B5F5" w14:textId="3DDEF40E" w:rsidR="000A7159" w:rsidRP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A7159"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127" w:type="dxa"/>
          </w:tcPr>
          <w:p w14:paraId="46516F80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9DF3BBC" w14:textId="6CBD9066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>
              <w:rPr>
                <w:i/>
                <w:iCs/>
                <w:sz w:val="18"/>
                <w:szCs w:val="18"/>
                <w:lang w:val="en-US"/>
              </w:rPr>
              <w:t>3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.3.3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of the GHS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403A34C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0A602074" w14:textId="77777777" w:rsidR="000A7159" w:rsidRPr="00A65C7A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2AC85FB1" w14:textId="77777777" w:rsidTr="00B1067E">
        <w:tc>
          <w:tcPr>
            <w:tcW w:w="1985" w:type="dxa"/>
            <w:vMerge/>
            <w:shd w:val="clear" w:color="auto" w:fill="auto"/>
          </w:tcPr>
          <w:p w14:paraId="4B3B0311" w14:textId="77777777" w:rsidR="000A7159" w:rsidRPr="004D64B8" w:rsidRDefault="000A7159" w:rsidP="00A363E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F17C7E" w14:textId="77777777" w:rsidR="000A7159" w:rsidRPr="00A65C7A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41CC09" w14:textId="77777777" w:rsidR="000A7159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3D3C14" w14:textId="1FA684FF" w:rsidR="000A7159" w:rsidRP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A7159">
              <w:rPr>
                <w:sz w:val="20"/>
                <w:szCs w:val="20"/>
                <w:lang w:val="en-US"/>
              </w:rPr>
              <w:t>2/2A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</w:tcPr>
          <w:p w14:paraId="5B3697B1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6645A1" w14:textId="77777777" w:rsidR="000A7159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8A13A4" w14:textId="77777777" w:rsidR="000A7159" w:rsidRPr="00A65C7A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5A2078D5" w14:textId="77777777" w:rsidR="000A7159" w:rsidRPr="00A65C7A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A7159" w:rsidRPr="00A65C7A" w14:paraId="08336731" w14:textId="77777777" w:rsidTr="00B1067E">
        <w:tc>
          <w:tcPr>
            <w:tcW w:w="1985" w:type="dxa"/>
            <w:vMerge/>
            <w:shd w:val="clear" w:color="auto" w:fill="auto"/>
          </w:tcPr>
          <w:p w14:paraId="0C0A74B6" w14:textId="77777777" w:rsidR="000A7159" w:rsidRPr="004D64B8" w:rsidRDefault="000A7159" w:rsidP="00A363E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2C2803" w14:textId="77777777" w:rsidR="000A7159" w:rsidRPr="00A65C7A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07AFEB" w14:textId="77777777" w:rsidR="000A7159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F48005" w14:textId="52490034" w:rsidR="000A7159" w:rsidRP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0A7159">
              <w:rPr>
                <w:sz w:val="20"/>
                <w:szCs w:val="20"/>
                <w:lang w:val="en-US"/>
              </w:rPr>
              <w:t>2B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</w:tcPr>
          <w:p w14:paraId="44E01BC1" w14:textId="77777777" w:rsidR="000A7159" w:rsidRDefault="000A7159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959014" w14:textId="77777777" w:rsidR="000A7159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C54EB8" w14:textId="77777777" w:rsidR="000A7159" w:rsidRPr="00A65C7A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2469C190" w14:textId="77777777" w:rsidR="000A7159" w:rsidRPr="00A65C7A" w:rsidRDefault="000A7159" w:rsidP="00A363E6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23AF1" w:rsidRPr="00A65C7A" w14:paraId="40E12383" w14:textId="77777777" w:rsidTr="00B1067E">
        <w:tc>
          <w:tcPr>
            <w:tcW w:w="1985" w:type="dxa"/>
            <w:vMerge w:val="restart"/>
            <w:shd w:val="clear" w:color="auto" w:fill="auto"/>
          </w:tcPr>
          <w:p w14:paraId="571AD66E" w14:textId="77777777" w:rsidR="00823AF1" w:rsidRPr="004D64B8" w:rsidRDefault="00823AF1" w:rsidP="003F1A65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Aspiration hazard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A130F3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DF9ED7" w14:textId="77777777" w:rsidR="00823AF1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DD594C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2A5F0A"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127" w:type="dxa"/>
          </w:tcPr>
          <w:p w14:paraId="48B7A57B" w14:textId="77777777" w:rsidR="00823AF1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85436AD" w14:textId="77777777" w:rsidR="00823AF1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>
              <w:rPr>
                <w:i/>
                <w:iCs/>
                <w:sz w:val="18"/>
                <w:szCs w:val="18"/>
                <w:lang w:val="en-US"/>
              </w:rPr>
              <w:t>10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</w:t>
            </w:r>
            <w:r>
              <w:rPr>
                <w:i/>
                <w:iCs/>
                <w:sz w:val="18"/>
                <w:szCs w:val="18"/>
                <w:lang w:val="en-US"/>
              </w:rPr>
              <w:t>3 of the GHS.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C26044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78F3ED3D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23AF1" w:rsidRPr="00A65C7A" w14:paraId="53CABEAA" w14:textId="77777777" w:rsidTr="00B1067E">
        <w:tc>
          <w:tcPr>
            <w:tcW w:w="1985" w:type="dxa"/>
            <w:vMerge/>
            <w:shd w:val="clear" w:color="auto" w:fill="auto"/>
          </w:tcPr>
          <w:p w14:paraId="181C373A" w14:textId="77777777" w:rsidR="00823AF1" w:rsidRPr="004D64B8" w:rsidRDefault="00823AF1" w:rsidP="003F1A65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7F6F5C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DFD43E" w14:textId="77777777" w:rsidR="00823AF1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DE34B9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2A5F0A"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127" w:type="dxa"/>
          </w:tcPr>
          <w:p w14:paraId="2499941F" w14:textId="77777777" w:rsidR="00823AF1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D426DB" w14:textId="77777777" w:rsidR="00823AF1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E35EE0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20BB7D83" w14:textId="77777777" w:rsidR="00823AF1" w:rsidRPr="00A65C7A" w:rsidRDefault="00823AF1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F101111" w14:textId="70D6566F" w:rsidR="00313644" w:rsidRDefault="00313644">
      <w:r>
        <w:br w:type="page"/>
      </w:r>
    </w:p>
    <w:tbl>
      <w:tblPr>
        <w:tblW w:w="1545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2126"/>
        <w:gridCol w:w="2127"/>
        <w:gridCol w:w="1984"/>
        <w:gridCol w:w="1418"/>
        <w:gridCol w:w="2126"/>
      </w:tblGrid>
      <w:tr w:rsidR="00F505B7" w14:paraId="4F6C76BC" w14:textId="77777777" w:rsidTr="00136961">
        <w:trPr>
          <w:tblHeader/>
        </w:trPr>
        <w:tc>
          <w:tcPr>
            <w:tcW w:w="15451" w:type="dxa"/>
            <w:gridSpan w:val="8"/>
            <w:shd w:val="clear" w:color="auto" w:fill="F7CAAC" w:themeFill="accent2" w:themeFillTint="66"/>
          </w:tcPr>
          <w:p w14:paraId="4B6A7DE4" w14:textId="2FE45AAB" w:rsidR="00F505B7" w:rsidRDefault="00F505B7" w:rsidP="003F1A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lang w:val="en-US"/>
              </w:rPr>
            </w:pPr>
            <w:r>
              <w:rPr>
                <w:b/>
                <w:bCs/>
                <w:smallCaps/>
                <w:lang w:val="en-US"/>
              </w:rPr>
              <w:lastRenderedPageBreak/>
              <w:t>3</w:t>
            </w:r>
            <w:r w:rsidRPr="00F47283">
              <w:rPr>
                <w:b/>
                <w:bCs/>
                <w:smallCaps/>
                <w:lang w:val="en-US"/>
              </w:rPr>
              <w:t>A.</w:t>
            </w:r>
            <w:r w:rsidRPr="00F47283">
              <w:rPr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r w:rsidRPr="00A65C7A">
              <w:rPr>
                <w:b/>
                <w:bCs/>
                <w:smallCaps/>
                <w:sz w:val="28"/>
                <w:szCs w:val="28"/>
                <w:lang w:val="en-US"/>
              </w:rPr>
              <w:t>Health classification</w:t>
            </w:r>
            <w:r w:rsidR="002A5F0A">
              <w:rPr>
                <w:b/>
                <w:bCs/>
                <w:smallCaps/>
                <w:sz w:val="28"/>
                <w:szCs w:val="28"/>
                <w:lang w:val="en-US"/>
              </w:rPr>
              <w:t xml:space="preserve"> – Product</w:t>
            </w:r>
          </w:p>
        </w:tc>
      </w:tr>
      <w:tr w:rsidR="001371F6" w:rsidRPr="002472BE" w14:paraId="712A80A2" w14:textId="77777777" w:rsidTr="00B1067E">
        <w:trPr>
          <w:tblHeader/>
        </w:trPr>
        <w:tc>
          <w:tcPr>
            <w:tcW w:w="2126" w:type="dxa"/>
            <w:vMerge w:val="restart"/>
            <w:shd w:val="clear" w:color="auto" w:fill="FBE4D5" w:themeFill="accent2" w:themeFillTint="33"/>
          </w:tcPr>
          <w:p w14:paraId="0F13DB26" w14:textId="77777777" w:rsidR="001371F6" w:rsidRDefault="001371F6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Hazard class</w:t>
            </w:r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07CAF3E9" w14:textId="77777777" w:rsidR="001371F6" w:rsidRPr="002472BE" w:rsidRDefault="001371F6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472BE">
              <w:rPr>
                <w:b/>
                <w:bCs/>
                <w:sz w:val="20"/>
                <w:szCs w:val="20"/>
                <w:lang w:val="en-US"/>
              </w:rPr>
              <w:t>Proposed classification of the product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472BE">
              <w:rPr>
                <w:b/>
                <w:bCs/>
                <w:sz w:val="20"/>
                <w:szCs w:val="20"/>
                <w:lang w:val="en-US"/>
              </w:rPr>
              <w:t>from the application dossier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14:paraId="0FFBE07A" w14:textId="77777777" w:rsidR="001371F6" w:rsidRPr="00B57AFC" w:rsidRDefault="001371F6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B57AFC">
              <w:rPr>
                <w:b/>
                <w:bCs/>
                <w:sz w:val="20"/>
                <w:szCs w:val="20"/>
              </w:rPr>
              <w:t>Product data from registration dossier or SDS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7655" w:type="dxa"/>
            <w:gridSpan w:val="4"/>
            <w:shd w:val="clear" w:color="auto" w:fill="FBE4D5" w:themeFill="accent2" w:themeFillTint="33"/>
          </w:tcPr>
          <w:p w14:paraId="4CDF6FF4" w14:textId="77777777" w:rsidR="001371F6" w:rsidRPr="002472BE" w:rsidRDefault="001371F6" w:rsidP="001371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Classification based on substance data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32D6AFFE" w14:textId="77777777" w:rsidR="001371F6" w:rsidRPr="002472BE" w:rsidRDefault="001371F6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Retained</w:t>
            </w:r>
            <w:r w:rsidRPr="00C800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product </w:t>
            </w:r>
            <w:r w:rsidRPr="00C80009">
              <w:rPr>
                <w:b/>
                <w:bCs/>
                <w:sz w:val="20"/>
                <w:szCs w:val="20"/>
              </w:rPr>
              <w:t>classification and its justification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1371F6" w:rsidRPr="002472BE" w14:paraId="7BF42897" w14:textId="77777777" w:rsidTr="00B1067E">
        <w:tc>
          <w:tcPr>
            <w:tcW w:w="2126" w:type="dxa"/>
            <w:vMerge/>
            <w:shd w:val="clear" w:color="auto" w:fill="DEEAF6" w:themeFill="accent1" w:themeFillTint="33"/>
          </w:tcPr>
          <w:p w14:paraId="698BDC50" w14:textId="77777777" w:rsidR="001371F6" w:rsidRDefault="001371F6" w:rsidP="003F1A6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358FDB1B" w14:textId="77777777" w:rsidR="001371F6" w:rsidRPr="002472BE" w:rsidRDefault="001371F6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6AD576D1" w14:textId="77777777" w:rsidR="001371F6" w:rsidRPr="00B57AFC" w:rsidRDefault="001371F6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12F2C0B7" w14:textId="08D13AB1" w:rsidR="001371F6" w:rsidRDefault="00B1067E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Substances in category or sub category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05D7DC83" w14:textId="67969980" w:rsidR="001371F6" w:rsidRDefault="001371F6" w:rsidP="001371F6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Concentrations of every substance </w:t>
            </w:r>
            <w:r w:rsidRPr="008971D8">
              <w:rPr>
                <w:b/>
                <w:bCs/>
                <w:sz w:val="20"/>
                <w:szCs w:val="20"/>
                <w:lang w:val="en-US"/>
              </w:rPr>
              <w:t xml:space="preserve">classified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in each category </w:t>
            </w:r>
            <w:r w:rsidRPr="000A7159">
              <w:rPr>
                <w:sz w:val="20"/>
                <w:szCs w:val="20"/>
                <w:lang w:val="en-US"/>
              </w:rPr>
              <w:t>(%)</w:t>
            </w:r>
            <w:r>
              <w:rPr>
                <w:rStyle w:val="FootnoteReference"/>
                <w:sz w:val="20"/>
                <w:szCs w:val="20"/>
                <w:lang w:val="en-US"/>
              </w:rPr>
              <w:footnoteReference w:id="13"/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53351A0" w14:textId="0705A62B" w:rsidR="001371F6" w:rsidRDefault="001371F6" w:rsidP="00B1067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271D7B">
              <w:rPr>
                <w:i/>
                <w:iCs/>
                <w:sz w:val="20"/>
                <w:szCs w:val="20"/>
                <w:lang w:val="en-US"/>
              </w:rPr>
              <w:t>Classification rules for the pesticide product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A3C323B" w14:textId="3E572619" w:rsidR="001371F6" w:rsidRDefault="001371F6" w:rsidP="00B1067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Calculated classification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125FB01E" w14:textId="77777777" w:rsidR="001371F6" w:rsidRDefault="001371F6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1371F6" w:rsidRPr="00A65C7A" w14:paraId="46716F57" w14:textId="24C9B53E" w:rsidTr="00B1067E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14:paraId="779508DF" w14:textId="3D6A38C1" w:rsidR="001371F6" w:rsidRPr="004D64B8" w:rsidRDefault="001371F6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Respiratory or skin sensitization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B824415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F7A90DA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13D003" w14:textId="04F7BCD5" w:rsidR="001371F6" w:rsidRPr="003B3B75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3B75">
              <w:rPr>
                <w:sz w:val="20"/>
                <w:szCs w:val="20"/>
                <w:lang w:val="en-US"/>
              </w:rPr>
              <w:t>1</w:t>
            </w:r>
            <w:r w:rsidR="003B3B7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</w:tcPr>
          <w:p w14:paraId="3463A267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F1FF49A" w14:textId="342D366D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>
              <w:rPr>
                <w:i/>
                <w:iCs/>
                <w:sz w:val="18"/>
                <w:szCs w:val="18"/>
                <w:lang w:val="en-US"/>
              </w:rPr>
              <w:t>4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.3.3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of the GHS.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F7BF45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693AE0B7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71F6" w:rsidRPr="00A65C7A" w14:paraId="51E18B64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5886DEC1" w14:textId="77777777" w:rsidR="001371F6" w:rsidRPr="004D64B8" w:rsidRDefault="001371F6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1C6848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D967A6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6A2ECF" w14:textId="2F13DDF8" w:rsidR="001371F6" w:rsidRPr="003B3B75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3B75">
              <w:rPr>
                <w:sz w:val="20"/>
                <w:szCs w:val="20"/>
                <w:lang w:val="en-US"/>
              </w:rPr>
              <w:t>1A</w:t>
            </w:r>
            <w:r w:rsidR="003B3B7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</w:tcPr>
          <w:p w14:paraId="40929D6E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AE63E5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3B2759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4C617565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71F6" w:rsidRPr="00A65C7A" w14:paraId="7A007501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24FCF7F7" w14:textId="77777777" w:rsidR="001371F6" w:rsidRPr="004D64B8" w:rsidRDefault="001371F6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C191E7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071638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EC513D" w14:textId="28373B7A" w:rsidR="001371F6" w:rsidRPr="003B3B75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3B75">
              <w:rPr>
                <w:sz w:val="20"/>
                <w:szCs w:val="20"/>
                <w:lang w:val="en-US"/>
              </w:rPr>
              <w:t>1B</w:t>
            </w:r>
            <w:r w:rsidR="003B3B7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</w:tcPr>
          <w:p w14:paraId="7EF56467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19BC0E" w14:textId="77777777" w:rsidR="001371F6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5029A6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1B5A8080" w14:textId="77777777" w:rsidR="001371F6" w:rsidRPr="00A65C7A" w:rsidRDefault="001371F6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E0CD0" w:rsidRPr="00A65C7A" w14:paraId="224AAEDB" w14:textId="12CBBA7A" w:rsidTr="00B1067E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14:paraId="08C93C11" w14:textId="018C2B5F" w:rsidR="004E0CD0" w:rsidRPr="004D64B8" w:rsidRDefault="004E0CD0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Germ cell mutagenicity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B121B63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0B17C2E" w14:textId="77777777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F5DB08" w14:textId="478CA957" w:rsidR="004E0CD0" w:rsidRPr="003B6A9D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6A9D">
              <w:rPr>
                <w:sz w:val="20"/>
                <w:szCs w:val="20"/>
                <w:lang w:val="en-US"/>
              </w:rPr>
              <w:t>1A: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127" w:type="dxa"/>
          </w:tcPr>
          <w:p w14:paraId="374F1DE8" w14:textId="77777777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9E0B884" w14:textId="0AF3D706" w:rsidR="004E0CD0" w:rsidRPr="00A929DE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>
              <w:rPr>
                <w:i/>
                <w:iCs/>
                <w:sz w:val="18"/>
                <w:szCs w:val="18"/>
                <w:lang w:val="en-US"/>
              </w:rPr>
              <w:t>5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.3.3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of the GHS.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138E65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2CBDA6AC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E0CD0" w:rsidRPr="00A65C7A" w14:paraId="31C0D635" w14:textId="02AFF1D9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5A0AD72B" w14:textId="77777777" w:rsidR="004E0CD0" w:rsidRPr="004D64B8" w:rsidRDefault="004E0CD0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ED76A4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ED729A" w14:textId="77777777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52760E" w14:textId="7A49563A" w:rsidR="004E0CD0" w:rsidRPr="003B6A9D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6A9D">
              <w:rPr>
                <w:sz w:val="20"/>
                <w:szCs w:val="20"/>
                <w:lang w:val="en-US"/>
              </w:rPr>
              <w:t>1B: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127" w:type="dxa"/>
          </w:tcPr>
          <w:p w14:paraId="03DD3302" w14:textId="77777777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87D785" w14:textId="4EBC2B02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63DA77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32DDD1BF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E0CD0" w:rsidRPr="00A65C7A" w14:paraId="53133538" w14:textId="02C463E9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37E5F3AF" w14:textId="77777777" w:rsidR="004E0CD0" w:rsidRPr="004D64B8" w:rsidRDefault="004E0CD0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C2625C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441879" w14:textId="77777777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6BA483" w14:textId="6A7DF74A" w:rsidR="004E0CD0" w:rsidRPr="003B6A9D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6A9D">
              <w:rPr>
                <w:sz w:val="20"/>
                <w:szCs w:val="20"/>
                <w:lang w:val="en-US"/>
              </w:rPr>
              <w:t>2: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127" w:type="dxa"/>
          </w:tcPr>
          <w:p w14:paraId="421E9C2F" w14:textId="77777777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93052A" w14:textId="36C7A94E" w:rsidR="004E0CD0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39F25A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43398BC1" w14:textId="77777777" w:rsidR="004E0CD0" w:rsidRPr="00A65C7A" w:rsidRDefault="004E0CD0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3B75" w:rsidRPr="00A65C7A" w14:paraId="09803FA7" w14:textId="11B3481B" w:rsidTr="00B1067E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14:paraId="2622CC45" w14:textId="77777777" w:rsidR="003B3B75" w:rsidRPr="004D64B8" w:rsidRDefault="003B3B7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Carcinogenicity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0033C33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7292ECB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F4F96A" w14:textId="1D4337FD" w:rsidR="003B3B75" w:rsidRP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3B75"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127" w:type="dxa"/>
          </w:tcPr>
          <w:p w14:paraId="49CA1175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E111EE9" w14:textId="496FAD03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>
              <w:rPr>
                <w:i/>
                <w:iCs/>
                <w:sz w:val="18"/>
                <w:szCs w:val="18"/>
                <w:lang w:val="en-US"/>
              </w:rPr>
              <w:t>6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.3.3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of the GHS.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1DBD4D2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25E1E7E3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3B75" w:rsidRPr="00A65C7A" w14:paraId="4135BEA0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295C3876" w14:textId="77777777" w:rsidR="003B3B75" w:rsidRPr="004D64B8" w:rsidRDefault="003B3B7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EEBE3D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050CEA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CD5649" w14:textId="1D683803" w:rsidR="003B3B75" w:rsidRP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3B75">
              <w:rPr>
                <w:sz w:val="20"/>
                <w:szCs w:val="20"/>
                <w:lang w:val="en-US"/>
              </w:rPr>
              <w:t>1A:</w:t>
            </w:r>
          </w:p>
        </w:tc>
        <w:tc>
          <w:tcPr>
            <w:tcW w:w="2127" w:type="dxa"/>
          </w:tcPr>
          <w:p w14:paraId="5373E9DD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DF97BB" w14:textId="77777777" w:rsidR="003B3B75" w:rsidRPr="000A7159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CCAF9C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1379C2E0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3B75" w:rsidRPr="00A65C7A" w14:paraId="17132563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4085637A" w14:textId="77777777" w:rsidR="003B3B75" w:rsidRPr="004D64B8" w:rsidRDefault="003B3B7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4615A3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B8F1A6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1B2234" w14:textId="0FB21462" w:rsidR="003B3B75" w:rsidRP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3B75">
              <w:rPr>
                <w:sz w:val="20"/>
                <w:szCs w:val="20"/>
                <w:lang w:val="en-US"/>
              </w:rPr>
              <w:t>1B:</w:t>
            </w:r>
          </w:p>
        </w:tc>
        <w:tc>
          <w:tcPr>
            <w:tcW w:w="2127" w:type="dxa"/>
          </w:tcPr>
          <w:p w14:paraId="60FC07DF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C6CDD4" w14:textId="77777777" w:rsidR="003B3B75" w:rsidRPr="000A7159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D3135C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649A85FD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3B75" w:rsidRPr="00A65C7A" w14:paraId="7847E36A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13A287B6" w14:textId="77777777" w:rsidR="003B3B75" w:rsidRPr="004D64B8" w:rsidRDefault="003B3B75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3D10BB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B7B7F2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186281" w14:textId="5B876413" w:rsidR="003B3B75" w:rsidRP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3B3B75"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127" w:type="dxa"/>
          </w:tcPr>
          <w:p w14:paraId="5387D36B" w14:textId="77777777" w:rsidR="003B3B75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C68092" w14:textId="77777777" w:rsidR="003B3B75" w:rsidRPr="000A7159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3F2C92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409D941D" w14:textId="77777777" w:rsidR="003B3B75" w:rsidRPr="00A65C7A" w:rsidRDefault="003B3B75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586F" w:rsidRPr="00A65C7A" w14:paraId="0D73323A" w14:textId="6689AC28" w:rsidTr="00B1067E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14:paraId="1816A876" w14:textId="77777777" w:rsidR="0078586F" w:rsidRPr="004D64B8" w:rsidRDefault="0078586F" w:rsidP="00785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Reproductive toxicity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8497296" w14:textId="77777777" w:rsidR="0078586F" w:rsidRPr="00A65C7A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4BDB569" w14:textId="77777777" w:rsid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E583F1" w14:textId="29A4E229" w:rsidR="0078586F" w:rsidRP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78586F">
              <w:rPr>
                <w:sz w:val="20"/>
                <w:szCs w:val="20"/>
                <w:lang w:val="en-US"/>
              </w:rPr>
              <w:t>1A:</w:t>
            </w:r>
          </w:p>
        </w:tc>
        <w:tc>
          <w:tcPr>
            <w:tcW w:w="2127" w:type="dxa"/>
          </w:tcPr>
          <w:p w14:paraId="48144FE9" w14:textId="77777777" w:rsid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C0385B2" w14:textId="0B174FC2" w:rsid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 w:rsidR="002A5F0A">
              <w:rPr>
                <w:i/>
                <w:iCs/>
                <w:sz w:val="18"/>
                <w:szCs w:val="18"/>
                <w:lang w:val="en-US"/>
              </w:rPr>
              <w:t>7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.3.3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of the GHS.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E2CF301" w14:textId="77777777" w:rsidR="0078586F" w:rsidRPr="00A65C7A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4A9E5951" w14:textId="77777777" w:rsidR="0078586F" w:rsidRPr="00A65C7A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586F" w:rsidRPr="00A65C7A" w14:paraId="0D41077A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22827A65" w14:textId="77777777" w:rsidR="0078586F" w:rsidRPr="004D64B8" w:rsidRDefault="0078586F" w:rsidP="0031364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9E338F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2CB7A4" w14:textId="77777777" w:rsidR="0078586F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8DB504" w14:textId="0FE022C7" w:rsidR="0078586F" w:rsidRP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78586F">
              <w:rPr>
                <w:sz w:val="20"/>
                <w:szCs w:val="20"/>
                <w:lang w:val="en-US"/>
              </w:rPr>
              <w:t>1B:</w:t>
            </w:r>
          </w:p>
        </w:tc>
        <w:tc>
          <w:tcPr>
            <w:tcW w:w="2127" w:type="dxa"/>
          </w:tcPr>
          <w:p w14:paraId="07665242" w14:textId="77777777" w:rsid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6E633F" w14:textId="77777777" w:rsidR="0078586F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E26DB5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0D97A27B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586F" w:rsidRPr="00A65C7A" w14:paraId="55E40E48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7C06B8AF" w14:textId="77777777" w:rsidR="0078586F" w:rsidRPr="004D64B8" w:rsidRDefault="0078586F" w:rsidP="0031364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E7F9F3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CBA2A" w14:textId="77777777" w:rsidR="0078586F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2EC3C2" w14:textId="18D3CA34" w:rsidR="0078586F" w:rsidRP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78586F"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127" w:type="dxa"/>
          </w:tcPr>
          <w:p w14:paraId="4118D5E6" w14:textId="77777777" w:rsid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D2AC19" w14:textId="77777777" w:rsidR="0078586F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21293A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5C377082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586F" w:rsidRPr="00A65C7A" w14:paraId="4FEBDF00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0CD974A9" w14:textId="77777777" w:rsidR="0078586F" w:rsidRPr="004D64B8" w:rsidRDefault="0078586F" w:rsidP="0031364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5D1CF0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2BD6BD" w14:textId="77777777" w:rsidR="0078586F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D9E94D" w14:textId="6297ACFA" w:rsidR="0078586F" w:rsidRP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78586F">
              <w:rPr>
                <w:sz w:val="20"/>
                <w:szCs w:val="20"/>
                <w:lang w:val="en-US"/>
              </w:rPr>
              <w:t>Effects via lactation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</w:tcPr>
          <w:p w14:paraId="46D8043E" w14:textId="77777777" w:rsidR="0078586F" w:rsidRDefault="0078586F" w:rsidP="0078586F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278D1F" w14:textId="77777777" w:rsidR="0078586F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5DCCDB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3988CB4B" w14:textId="77777777" w:rsidR="0078586F" w:rsidRPr="00A65C7A" w:rsidRDefault="0078586F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F0A" w:rsidRPr="00A65C7A" w14:paraId="5C38EE33" w14:textId="37D549A6" w:rsidTr="00B1067E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14:paraId="175A8BC7" w14:textId="77777777" w:rsidR="002A5F0A" w:rsidRPr="004D64B8" w:rsidRDefault="002A5F0A" w:rsidP="002A5F0A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Specific target organ toxicity (STOT) – Single exposure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B10752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D7286D8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ABCCD6" w14:textId="688D06E1" w:rsidR="002A5F0A" w:rsidRP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2A5F0A"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127" w:type="dxa"/>
          </w:tcPr>
          <w:p w14:paraId="1C99C1E8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13E1C37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>
              <w:rPr>
                <w:i/>
                <w:iCs/>
                <w:sz w:val="18"/>
                <w:szCs w:val="18"/>
                <w:lang w:val="en-US"/>
              </w:rPr>
              <w:t>8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</w:t>
            </w:r>
            <w:r>
              <w:rPr>
                <w:i/>
                <w:iCs/>
                <w:sz w:val="18"/>
                <w:szCs w:val="18"/>
                <w:lang w:val="en-US"/>
              </w:rPr>
              <w:t>4 of the GHS.</w:t>
            </w:r>
          </w:p>
          <w:p w14:paraId="62DDE257" w14:textId="1BD29B59" w:rsidR="00B1067E" w:rsidRDefault="00B1067E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5411113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0C773B40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F0A" w:rsidRPr="00A65C7A" w14:paraId="0D11677A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395514BC" w14:textId="77777777" w:rsidR="002A5F0A" w:rsidRPr="004D64B8" w:rsidRDefault="002A5F0A" w:rsidP="00313644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0933BC" w14:textId="77777777" w:rsidR="002A5F0A" w:rsidRPr="00A65C7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12790E" w14:textId="77777777" w:rsidR="002A5F0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BAEC0B" w14:textId="152E063F" w:rsidR="002A5F0A" w:rsidRP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2A5F0A"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127" w:type="dxa"/>
          </w:tcPr>
          <w:p w14:paraId="4CFE59A8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C25F04" w14:textId="77777777" w:rsidR="002A5F0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FC40641" w14:textId="77777777" w:rsidR="002A5F0A" w:rsidRPr="00A65C7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5E30B15F" w14:textId="77777777" w:rsidR="002A5F0A" w:rsidRPr="00A65C7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F0A" w:rsidRPr="00A65C7A" w14:paraId="1DD1B3C0" w14:textId="77777777" w:rsidTr="00B1067E">
        <w:trPr>
          <w:cantSplit/>
        </w:trPr>
        <w:tc>
          <w:tcPr>
            <w:tcW w:w="2126" w:type="dxa"/>
            <w:vMerge/>
            <w:shd w:val="clear" w:color="auto" w:fill="auto"/>
          </w:tcPr>
          <w:p w14:paraId="62B3536B" w14:textId="77777777" w:rsidR="002A5F0A" w:rsidRPr="004D64B8" w:rsidRDefault="002A5F0A" w:rsidP="00313644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94175A" w14:textId="77777777" w:rsidR="002A5F0A" w:rsidRPr="00A65C7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508541" w14:textId="77777777" w:rsidR="002A5F0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14D2DF" w14:textId="5455E5B1" w:rsidR="002A5F0A" w:rsidRP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2A5F0A"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2127" w:type="dxa"/>
          </w:tcPr>
          <w:p w14:paraId="45EAA10F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319397" w14:textId="77777777" w:rsidR="002A5F0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7EB35" w14:textId="77777777" w:rsidR="002A5F0A" w:rsidRPr="00A65C7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67074AE9" w14:textId="77777777" w:rsidR="002A5F0A" w:rsidRPr="00A65C7A" w:rsidRDefault="002A5F0A" w:rsidP="0031364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F0A" w:rsidRPr="00A65C7A" w14:paraId="5B7A6805" w14:textId="5528C6D6" w:rsidTr="00B1067E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14:paraId="0F1714BD" w14:textId="77777777" w:rsidR="002A5F0A" w:rsidRPr="004D64B8" w:rsidRDefault="002A5F0A" w:rsidP="002A5F0A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64B8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Specific target organ toxicity (STOT) – Repeated exposure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8353F5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0388171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CAC907" w14:textId="4D7C5690" w:rsidR="002A5F0A" w:rsidRP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2A5F0A"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127" w:type="dxa"/>
          </w:tcPr>
          <w:p w14:paraId="018382E8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88F10D8" w14:textId="44B88481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product </w:t>
            </w:r>
            <w:r>
              <w:rPr>
                <w:i/>
                <w:iCs/>
                <w:sz w:val="18"/>
                <w:szCs w:val="18"/>
                <w:lang w:val="en-US"/>
              </w:rPr>
              <w:t>using the rules and tables of section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 xml:space="preserve"> 3.</w:t>
            </w:r>
            <w:r>
              <w:rPr>
                <w:i/>
                <w:iCs/>
                <w:sz w:val="18"/>
                <w:szCs w:val="18"/>
                <w:lang w:val="en-US"/>
              </w:rPr>
              <w:t>9</w:t>
            </w:r>
            <w:r w:rsidRPr="000A7159">
              <w:rPr>
                <w:i/>
                <w:iCs/>
                <w:sz w:val="18"/>
                <w:szCs w:val="18"/>
                <w:lang w:val="en-US"/>
              </w:rPr>
              <w:t>.3.</w:t>
            </w:r>
            <w:r>
              <w:rPr>
                <w:i/>
                <w:iCs/>
                <w:sz w:val="18"/>
                <w:szCs w:val="18"/>
                <w:lang w:val="en-US"/>
              </w:rPr>
              <w:t>4 of the GHS.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3861FAF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1860EF9D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F0A" w:rsidRPr="00A65C7A" w14:paraId="0AF0DA13" w14:textId="77777777" w:rsidTr="00B1067E">
        <w:tc>
          <w:tcPr>
            <w:tcW w:w="2126" w:type="dxa"/>
            <w:vMerge/>
            <w:shd w:val="clear" w:color="auto" w:fill="auto"/>
          </w:tcPr>
          <w:p w14:paraId="3DF8D9A2" w14:textId="77777777" w:rsidR="002A5F0A" w:rsidRPr="004D64B8" w:rsidRDefault="002A5F0A" w:rsidP="002A5F0A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C1DE2B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74C195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33402E" w14:textId="614ACBB7" w:rsidR="002A5F0A" w:rsidRP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2A5F0A"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127" w:type="dxa"/>
          </w:tcPr>
          <w:p w14:paraId="6931F063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DFF156" w14:textId="77777777" w:rsidR="002A5F0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3A5540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6DE52607" w14:textId="77777777" w:rsidR="002A5F0A" w:rsidRPr="00A65C7A" w:rsidRDefault="002A5F0A" w:rsidP="002A5F0A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255817" w14:textId="77777777" w:rsidR="002472BE" w:rsidRDefault="002472BE" w:rsidP="00B1067E">
      <w:pPr>
        <w:spacing w:after="0" w:line="240" w:lineRule="auto"/>
        <w:rPr>
          <w:rFonts w:ascii="Tahoma" w:hAnsi="Tahoma" w:cs="Tahoma"/>
          <w:b/>
          <w:bCs/>
          <w:lang w:val="en-US"/>
        </w:rPr>
      </w:pPr>
    </w:p>
    <w:tbl>
      <w:tblPr>
        <w:tblW w:w="1545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701"/>
        <w:gridCol w:w="2268"/>
        <w:gridCol w:w="1276"/>
        <w:gridCol w:w="1701"/>
        <w:gridCol w:w="1701"/>
        <w:gridCol w:w="1417"/>
        <w:gridCol w:w="1985"/>
      </w:tblGrid>
      <w:tr w:rsidR="00F744CC" w14:paraId="168152A1" w14:textId="77777777" w:rsidTr="00136961">
        <w:trPr>
          <w:tblHeader/>
        </w:trPr>
        <w:tc>
          <w:tcPr>
            <w:tcW w:w="1545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C2C40BC" w14:textId="77777777" w:rsidR="00F744CC" w:rsidRPr="007A4DC2" w:rsidRDefault="00F744CC" w:rsidP="003F1A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7A4DC2">
              <w:rPr>
                <w:b/>
                <w:bCs/>
                <w:smallCaps/>
                <w:sz w:val="28"/>
                <w:szCs w:val="28"/>
                <w:lang w:val="en-US"/>
              </w:rPr>
              <w:t>3B. Environment classification – Product</w:t>
            </w:r>
          </w:p>
          <w:p w14:paraId="7C2E47B1" w14:textId="4C798566" w:rsidR="00F744CC" w:rsidRDefault="00F744CC" w:rsidP="003F1A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lang w:val="en-US"/>
              </w:rPr>
            </w:pPr>
            <w:r>
              <w:rPr>
                <w:b/>
                <w:bCs/>
                <w:smallCaps/>
                <w:lang w:val="en-US"/>
              </w:rPr>
              <w:t xml:space="preserve">i. </w:t>
            </w:r>
            <w:r w:rsidRPr="00F744CC">
              <w:rPr>
                <w:b/>
                <w:bCs/>
                <w:lang w:val="en-US"/>
              </w:rPr>
              <w:t xml:space="preserve">Classification of </w:t>
            </w:r>
            <w:r w:rsidR="007A4DC2">
              <w:rPr>
                <w:b/>
                <w:bCs/>
                <w:lang w:val="en-US"/>
              </w:rPr>
              <w:t>pesticide products</w:t>
            </w:r>
            <w:r w:rsidRPr="00F744CC">
              <w:rPr>
                <w:b/>
                <w:bCs/>
                <w:lang w:val="en-US"/>
              </w:rPr>
              <w:t xml:space="preserve"> when </w:t>
            </w:r>
            <w:r w:rsidRPr="00FE2946">
              <w:rPr>
                <w:b/>
                <w:bCs/>
                <w:u w:val="single"/>
                <w:lang w:val="en-US"/>
              </w:rPr>
              <w:t>toxicity data</w:t>
            </w:r>
            <w:r w:rsidRPr="00F744CC">
              <w:rPr>
                <w:b/>
                <w:bCs/>
                <w:lang w:val="en-US"/>
              </w:rPr>
              <w:t xml:space="preserve"> are available for all </w:t>
            </w:r>
            <w:r w:rsidR="007A4DC2">
              <w:rPr>
                <w:b/>
                <w:bCs/>
                <w:lang w:val="en-US"/>
              </w:rPr>
              <w:t>substances in the formulation (mixture)</w:t>
            </w:r>
            <w:r w:rsidR="00B1067E">
              <w:rPr>
                <w:rStyle w:val="FootnoteReference"/>
                <w:b/>
                <w:bCs/>
                <w:lang w:val="en-US"/>
              </w:rPr>
              <w:footnoteReference w:id="14"/>
            </w:r>
          </w:p>
        </w:tc>
      </w:tr>
      <w:tr w:rsidR="00F744CC" w:rsidRPr="002472BE" w14:paraId="624E3674" w14:textId="77777777" w:rsidTr="007E1697">
        <w:tc>
          <w:tcPr>
            <w:tcW w:w="1276" w:type="dxa"/>
            <w:vMerge w:val="restart"/>
            <w:shd w:val="clear" w:color="auto" w:fill="FBE4D5" w:themeFill="accent2" w:themeFillTint="33"/>
          </w:tcPr>
          <w:p w14:paraId="7A4BB1BE" w14:textId="77777777" w:rsidR="00F744CC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Hazard class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44EEBC43" w14:textId="22235BCC" w:rsidR="00F744CC" w:rsidRPr="002472BE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472BE">
              <w:rPr>
                <w:b/>
                <w:bCs/>
                <w:sz w:val="20"/>
                <w:szCs w:val="20"/>
                <w:lang w:val="en-US"/>
              </w:rPr>
              <w:t>Proposed classification of the product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472BE">
              <w:rPr>
                <w:b/>
                <w:bCs/>
                <w:sz w:val="20"/>
                <w:szCs w:val="20"/>
                <w:lang w:val="en-US"/>
              </w:rPr>
              <w:t>from the application dossier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95DB4">
              <w:rPr>
                <w:b/>
                <w:bCs/>
                <w:sz w:val="20"/>
                <w:szCs w:val="20"/>
                <w:lang w:val="en-US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14:paraId="15B92218" w14:textId="418561B3" w:rsidR="00F744CC" w:rsidRPr="00B57AFC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B57AFC">
              <w:rPr>
                <w:b/>
                <w:bCs/>
                <w:sz w:val="20"/>
                <w:szCs w:val="20"/>
              </w:rPr>
              <w:t>Product data from registration dossier or SDS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5DB4">
              <w:rPr>
                <w:b/>
                <w:bCs/>
                <w:sz w:val="20"/>
                <w:szCs w:val="20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8363" w:type="dxa"/>
            <w:gridSpan w:val="5"/>
            <w:shd w:val="clear" w:color="auto" w:fill="FBE4D5" w:themeFill="accent2" w:themeFillTint="33"/>
          </w:tcPr>
          <w:p w14:paraId="7A5DBEB1" w14:textId="0385451D" w:rsidR="00F744CC" w:rsidRPr="002472BE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Classification based on </w:t>
            </w:r>
            <w:r w:rsidR="007A4DC2">
              <w:rPr>
                <w:b/>
                <w:bCs/>
                <w:sz w:val="20"/>
                <w:szCs w:val="20"/>
              </w:rPr>
              <w:t>substance</w:t>
            </w:r>
            <w:r>
              <w:rPr>
                <w:b/>
                <w:bCs/>
                <w:sz w:val="20"/>
                <w:szCs w:val="20"/>
              </w:rPr>
              <w:t xml:space="preserve"> data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5"/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14:paraId="7969938B" w14:textId="77777777" w:rsidR="00F744CC" w:rsidRPr="002472BE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Retained</w:t>
            </w:r>
            <w:r w:rsidRPr="00C800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product </w:t>
            </w:r>
            <w:r w:rsidRPr="00C80009">
              <w:rPr>
                <w:b/>
                <w:bCs/>
                <w:sz w:val="20"/>
                <w:szCs w:val="20"/>
              </w:rPr>
              <w:t>classification and its justification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6"/>
            </w:r>
          </w:p>
        </w:tc>
      </w:tr>
      <w:tr w:rsidR="00F744CC" w14:paraId="3D1FAD26" w14:textId="77777777" w:rsidTr="007E1697">
        <w:tc>
          <w:tcPr>
            <w:tcW w:w="1276" w:type="dxa"/>
            <w:vMerge/>
            <w:shd w:val="clear" w:color="auto" w:fill="DEEAF6" w:themeFill="accent1" w:themeFillTint="33"/>
          </w:tcPr>
          <w:p w14:paraId="6D8BDCD3" w14:textId="77777777" w:rsidR="00F744CC" w:rsidRPr="00A65C7A" w:rsidRDefault="00F744CC" w:rsidP="003F1A6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29A37EF1" w14:textId="77777777" w:rsidR="00F744CC" w:rsidRPr="00A65C7A" w:rsidRDefault="00F744CC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0049B9CC" w14:textId="77777777" w:rsidR="00F744CC" w:rsidRPr="00A65C7A" w:rsidRDefault="00F744CC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27697D36" w14:textId="1F192FC2" w:rsidR="00F744CC" w:rsidRPr="00A65C7A" w:rsidRDefault="007A4DC2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Substance</w:t>
            </w:r>
            <w:r w:rsidR="00B34D03">
              <w:rPr>
                <w:b/>
                <w:bCs/>
                <w:sz w:val="20"/>
                <w:szCs w:val="20"/>
                <w:lang w:val="en-US"/>
              </w:rPr>
              <w:t xml:space="preserve"> name</w:t>
            </w:r>
            <w:r w:rsidR="00F744CC">
              <w:rPr>
                <w:rStyle w:val="FootnoteReference"/>
                <w:b/>
                <w:bCs/>
                <w:sz w:val="20"/>
                <w:szCs w:val="20"/>
                <w:lang w:val="en-US"/>
              </w:rPr>
              <w:footnoteReference w:id="17"/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4F539A4" w14:textId="6ED55D34" w:rsidR="00F744CC" w:rsidRPr="007A4DC2" w:rsidRDefault="007A4DC2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Toxicity endpoint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EB11336" w14:textId="77777777" w:rsidR="00F744CC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Concentration in the product </w:t>
            </w:r>
            <w:r w:rsidRPr="00313644">
              <w:rPr>
                <w:sz w:val="20"/>
                <w:szCs w:val="20"/>
                <w:lang w:val="en-US"/>
              </w:rPr>
              <w:t>(%)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A3AAECD" w14:textId="77777777" w:rsidR="00F744CC" w:rsidRPr="00271D7B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271D7B">
              <w:rPr>
                <w:i/>
                <w:iCs/>
                <w:sz w:val="20"/>
                <w:szCs w:val="20"/>
                <w:lang w:val="en-US"/>
              </w:rPr>
              <w:t>Classification rules for the pesticide product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8509A16" w14:textId="77777777" w:rsidR="00F744CC" w:rsidRPr="00A65C7A" w:rsidRDefault="00F744CC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Calculated classification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14:paraId="1733E688" w14:textId="77777777" w:rsidR="00F744CC" w:rsidRDefault="00F744CC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7A4DC2" w:rsidRPr="00136961" w14:paraId="1C1BFEF0" w14:textId="77777777" w:rsidTr="007E1697">
        <w:trPr>
          <w:cantSplit/>
          <w:trHeight w:val="283"/>
        </w:trPr>
        <w:tc>
          <w:tcPr>
            <w:tcW w:w="1276" w:type="dxa"/>
            <w:vMerge w:val="restart"/>
            <w:shd w:val="clear" w:color="auto" w:fill="auto"/>
          </w:tcPr>
          <w:p w14:paraId="41653C6F" w14:textId="48FB8A57" w:rsid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Aquatic acute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3CC4BFC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F8BDE56" w14:textId="77777777" w:rsidR="007A4DC2" w:rsidRPr="00A929DE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23DD5047" w14:textId="77777777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C5D6EC2" w14:textId="167E1CB1" w:rsidR="007A4DC2" w:rsidRPr="007A4DC2" w:rsidRDefault="007A4DC2" w:rsidP="00F744CC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  <w:r w:rsidRPr="007A4DC2">
              <w:rPr>
                <w:b/>
                <w:bCs/>
                <w:i/>
                <w:iCs/>
                <w:sz w:val="20"/>
                <w:szCs w:val="20"/>
                <w:lang w:val="en-US"/>
              </w:rPr>
              <w:t>LC</w:t>
            </w:r>
            <w:r w:rsidRPr="007A4DC2">
              <w:rPr>
                <w:b/>
                <w:bCs/>
                <w:i/>
                <w:iCs/>
                <w:sz w:val="20"/>
                <w:szCs w:val="20"/>
                <w:vertAlign w:val="subscript"/>
                <w:lang w:val="en-US"/>
              </w:rPr>
              <w:t xml:space="preserve">50 </w:t>
            </w:r>
            <w:r w:rsidRPr="007A4DC2">
              <w:rPr>
                <w:b/>
                <w:bCs/>
                <w:i/>
                <w:iCs/>
                <w:sz w:val="20"/>
                <w:szCs w:val="20"/>
                <w:lang w:val="en-US"/>
              </w:rPr>
              <w:t>or EC</w:t>
            </w:r>
            <w:r w:rsidRPr="007A4DC2">
              <w:rPr>
                <w:b/>
                <w:bCs/>
                <w:i/>
                <w:iCs/>
                <w:sz w:val="20"/>
                <w:szCs w:val="20"/>
                <w:vertAlign w:val="subscript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76F06CF" w14:textId="77777777" w:rsidR="007A4DC2" w:rsidRDefault="007A4DC2" w:rsidP="00F744CC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64F043" w14:textId="1D9F783E" w:rsidR="007A4DC2" w:rsidRDefault="007A4DC2" w:rsidP="00F744CC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  <w:r w:rsidRPr="004461C1">
              <w:rPr>
                <w:i/>
                <w:iCs/>
                <w:sz w:val="18"/>
                <w:szCs w:val="18"/>
                <w:lang w:val="en-US"/>
              </w:rPr>
              <w:t>Calculat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e the </w:t>
            </w:r>
            <w:r w:rsidRPr="007A4DC2">
              <w:rPr>
                <w:sz w:val="18"/>
                <w:szCs w:val="18"/>
              </w:rPr>
              <w:t>L(E)C</w:t>
            </w:r>
            <w:r w:rsidRPr="007A4DC2">
              <w:rPr>
                <w:sz w:val="18"/>
                <w:szCs w:val="18"/>
                <w:vertAlign w:val="subscript"/>
              </w:rPr>
              <w:t>50m</w:t>
            </w:r>
            <w:r w:rsidRPr="007A4DC2"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using the rules and formula of </w:t>
            </w:r>
            <w:r w:rsidRPr="000F5DC7">
              <w:rPr>
                <w:i/>
                <w:iCs/>
                <w:sz w:val="18"/>
                <w:szCs w:val="18"/>
                <w:lang w:val="en-US"/>
              </w:rPr>
              <w:t>section 4.1.3.5</w:t>
            </w:r>
            <w:r w:rsidR="000F5DC7">
              <w:rPr>
                <w:i/>
                <w:iCs/>
                <w:sz w:val="18"/>
                <w:szCs w:val="18"/>
                <w:lang w:val="en-US"/>
              </w:rPr>
              <w:t>.2</w:t>
            </w:r>
            <w:r w:rsidRPr="007A4DC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461C1">
              <w:rPr>
                <w:i/>
                <w:iCs/>
                <w:sz w:val="18"/>
                <w:szCs w:val="18"/>
                <w:lang w:val="en-US"/>
              </w:rPr>
              <w:t xml:space="preserve">in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4461C1">
              <w:rPr>
                <w:i/>
                <w:iCs/>
                <w:sz w:val="18"/>
                <w:szCs w:val="18"/>
                <w:lang w:val="en-US"/>
              </w:rPr>
              <w:t>GHS</w:t>
            </w:r>
            <w:r>
              <w:rPr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3BFB1C5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pt-BR"/>
              </w:rPr>
            </w:pPr>
            <w:r w:rsidRPr="007A4DC2">
              <w:rPr>
                <w:sz w:val="18"/>
                <w:szCs w:val="18"/>
                <w:lang w:val="pt-BR"/>
              </w:rPr>
              <w:t>L(E)C</w:t>
            </w:r>
            <w:r w:rsidRPr="007A4DC2">
              <w:rPr>
                <w:sz w:val="18"/>
                <w:szCs w:val="18"/>
                <w:vertAlign w:val="subscript"/>
                <w:lang w:val="pt-BR"/>
              </w:rPr>
              <w:t>50m</w:t>
            </w:r>
            <w:r w:rsidRPr="007A4DC2">
              <w:rPr>
                <w:sz w:val="18"/>
                <w:szCs w:val="18"/>
                <w:lang w:val="pt-BR"/>
              </w:rPr>
              <w:t xml:space="preserve">  = </w:t>
            </w:r>
          </w:p>
          <w:p w14:paraId="1C13DAB7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pt-BR"/>
              </w:rPr>
            </w:pPr>
          </w:p>
          <w:p w14:paraId="60623BF7" w14:textId="40BA539B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pt-BR"/>
              </w:rPr>
            </w:pPr>
            <w:r w:rsidRPr="007A4DC2">
              <w:rPr>
                <w:sz w:val="18"/>
                <w:szCs w:val="18"/>
                <w:lang w:val="pt-BR"/>
              </w:rPr>
              <w:t>Classifies as:</w:t>
            </w:r>
          </w:p>
        </w:tc>
        <w:tc>
          <w:tcPr>
            <w:tcW w:w="1985" w:type="dxa"/>
            <w:vMerge w:val="restart"/>
          </w:tcPr>
          <w:p w14:paraId="33A355B6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7A4DC2" w:rsidRPr="007A4DC2" w14:paraId="7523ABA7" w14:textId="77777777" w:rsidTr="007E1697">
        <w:trPr>
          <w:cantSplit/>
          <w:trHeight w:val="283"/>
        </w:trPr>
        <w:tc>
          <w:tcPr>
            <w:tcW w:w="1276" w:type="dxa"/>
            <w:vMerge/>
            <w:shd w:val="clear" w:color="auto" w:fill="auto"/>
          </w:tcPr>
          <w:p w14:paraId="0342580F" w14:textId="5E10E3AF" w:rsidR="007A4DC2" w:rsidRP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38F558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28E5CB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4B048FC3" w14:textId="15659C33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1:</w:t>
            </w:r>
          </w:p>
        </w:tc>
        <w:tc>
          <w:tcPr>
            <w:tcW w:w="1276" w:type="dxa"/>
          </w:tcPr>
          <w:p w14:paraId="090BFEB7" w14:textId="77777777" w:rsidR="007A4DC2" w:rsidRDefault="007A4DC2" w:rsidP="00F744CC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C3761E9" w14:textId="77777777" w:rsidR="007A4DC2" w:rsidRDefault="007A4DC2" w:rsidP="00F744CC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8A2525" w14:textId="2A34C2BD" w:rsidR="007A4DC2" w:rsidRPr="008F1505" w:rsidRDefault="007A4DC2" w:rsidP="00F744CC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7927E0" w14:textId="72B06280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Merge/>
          </w:tcPr>
          <w:p w14:paraId="3DFB84D5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7A4DC2" w:rsidRPr="00A65C7A" w14:paraId="303A7C84" w14:textId="77777777" w:rsidTr="007E1697">
        <w:trPr>
          <w:cantSplit/>
        </w:trPr>
        <w:tc>
          <w:tcPr>
            <w:tcW w:w="1276" w:type="dxa"/>
            <w:vMerge/>
            <w:shd w:val="clear" w:color="auto" w:fill="auto"/>
          </w:tcPr>
          <w:p w14:paraId="747D226C" w14:textId="77777777" w:rsidR="007A4DC2" w:rsidRP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9E73B4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C9C4EF" w14:textId="7777777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14:paraId="63951176" w14:textId="7626081F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2:</w:t>
            </w:r>
          </w:p>
        </w:tc>
        <w:tc>
          <w:tcPr>
            <w:tcW w:w="1276" w:type="dxa"/>
          </w:tcPr>
          <w:p w14:paraId="68CBD9D2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F703417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8B384A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FB31F1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28B7DA32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C2" w:rsidRPr="00A65C7A" w14:paraId="1588860D" w14:textId="77777777" w:rsidTr="007E1697">
        <w:trPr>
          <w:cantSplit/>
        </w:trPr>
        <w:tc>
          <w:tcPr>
            <w:tcW w:w="1276" w:type="dxa"/>
            <w:vMerge/>
            <w:shd w:val="clear" w:color="auto" w:fill="auto"/>
          </w:tcPr>
          <w:p w14:paraId="4EC7B150" w14:textId="77777777" w:rsidR="007A4DC2" w:rsidRPr="004D64B8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EA3057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4D511E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2DF218" w14:textId="2C1284EC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3:</w:t>
            </w:r>
          </w:p>
        </w:tc>
        <w:tc>
          <w:tcPr>
            <w:tcW w:w="1276" w:type="dxa"/>
          </w:tcPr>
          <w:p w14:paraId="26AD68D9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59C1669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14A239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A023A6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748460F5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C2" w:rsidRPr="00A65C7A" w14:paraId="3DE41191" w14:textId="77777777" w:rsidTr="007E1697">
        <w:trPr>
          <w:cantSplit/>
          <w:trHeight w:val="236"/>
        </w:trPr>
        <w:tc>
          <w:tcPr>
            <w:tcW w:w="1276" w:type="dxa"/>
            <w:vMerge/>
            <w:shd w:val="clear" w:color="auto" w:fill="auto"/>
          </w:tcPr>
          <w:p w14:paraId="318B5BB1" w14:textId="77777777" w:rsidR="007A4DC2" w:rsidRPr="004D64B8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496D44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F1ACFB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B860CE0" w14:textId="5D822EB8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…:</w:t>
            </w:r>
          </w:p>
        </w:tc>
        <w:tc>
          <w:tcPr>
            <w:tcW w:w="1276" w:type="dxa"/>
          </w:tcPr>
          <w:p w14:paraId="20A8B23D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2CA7EDE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71C0AC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FF95EE6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1CBA9B49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C2" w:rsidRPr="00A65C7A" w14:paraId="23FF4AFE" w14:textId="77777777" w:rsidTr="007E1697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14:paraId="2655E961" w14:textId="18480002" w:rsid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Aquatic chronic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8E6E5FC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D11D3C7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FF67454" w14:textId="77777777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CD977BB" w14:textId="1B24B11F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A4DC2">
              <w:rPr>
                <w:b/>
                <w:bCs/>
                <w:i/>
                <w:iCs/>
                <w:sz w:val="20"/>
                <w:szCs w:val="20"/>
                <w:lang w:val="en-US"/>
              </w:rPr>
              <w:t>NOEC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D32A22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043516" w14:textId="3B1574FA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461C1">
              <w:rPr>
                <w:i/>
                <w:iCs/>
                <w:sz w:val="18"/>
                <w:szCs w:val="18"/>
                <w:lang w:val="en-US"/>
              </w:rPr>
              <w:t>Calculat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e the </w:t>
            </w:r>
            <w:proofErr w:type="spellStart"/>
            <w:r w:rsidRPr="007A4DC2">
              <w:rPr>
                <w:sz w:val="18"/>
                <w:szCs w:val="18"/>
              </w:rPr>
              <w:t>EqNOEC</w:t>
            </w:r>
            <w:r w:rsidRPr="007A4DC2">
              <w:rPr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using the rules and formula of section </w:t>
            </w:r>
            <w:r w:rsidRPr="007A4DC2">
              <w:rPr>
                <w:i/>
                <w:iCs/>
                <w:sz w:val="18"/>
                <w:szCs w:val="18"/>
                <w:lang w:val="en-US"/>
              </w:rPr>
              <w:t>4.1.3.5</w:t>
            </w:r>
            <w:r w:rsidR="000F5DC7">
              <w:rPr>
                <w:i/>
                <w:iCs/>
                <w:sz w:val="18"/>
                <w:szCs w:val="18"/>
                <w:lang w:val="en-US"/>
              </w:rPr>
              <w:t>.2</w:t>
            </w:r>
            <w:r w:rsidRPr="007A4DC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461C1">
              <w:rPr>
                <w:i/>
                <w:iCs/>
                <w:sz w:val="18"/>
                <w:szCs w:val="18"/>
                <w:lang w:val="en-US"/>
              </w:rPr>
              <w:t xml:space="preserve">in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the </w:t>
            </w:r>
            <w:r w:rsidRPr="004461C1">
              <w:rPr>
                <w:i/>
                <w:iCs/>
                <w:sz w:val="18"/>
                <w:szCs w:val="18"/>
                <w:lang w:val="en-US"/>
              </w:rPr>
              <w:t>GHS</w:t>
            </w:r>
            <w:r>
              <w:rPr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5ABD1E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7A4DC2">
              <w:rPr>
                <w:sz w:val="18"/>
                <w:szCs w:val="18"/>
              </w:rPr>
              <w:t>EqNOEC</w:t>
            </w:r>
            <w:r w:rsidRPr="007A4DC2">
              <w:rPr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</w:p>
          <w:p w14:paraId="2D0DED29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</w:rPr>
            </w:pPr>
          </w:p>
          <w:p w14:paraId="61758BEB" w14:textId="0A4FFA37" w:rsidR="007A4DC2" w:rsidRP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7A4DC2">
              <w:rPr>
                <w:sz w:val="18"/>
                <w:szCs w:val="18"/>
                <w:lang w:val="pt-BR"/>
              </w:rPr>
              <w:t>Classifies as:</w:t>
            </w:r>
          </w:p>
        </w:tc>
        <w:tc>
          <w:tcPr>
            <w:tcW w:w="1985" w:type="dxa"/>
            <w:vMerge w:val="restart"/>
          </w:tcPr>
          <w:p w14:paraId="7585AB08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C2" w:rsidRPr="00A65C7A" w14:paraId="3ED3ECCA" w14:textId="77777777" w:rsidTr="007E1697">
        <w:trPr>
          <w:cantSplit/>
        </w:trPr>
        <w:tc>
          <w:tcPr>
            <w:tcW w:w="1276" w:type="dxa"/>
            <w:vMerge/>
            <w:shd w:val="clear" w:color="auto" w:fill="auto"/>
          </w:tcPr>
          <w:p w14:paraId="11B89375" w14:textId="3276F2A9" w:rsid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FDB27D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B54E16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817263" w14:textId="3990D5A3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1:</w:t>
            </w:r>
          </w:p>
        </w:tc>
        <w:tc>
          <w:tcPr>
            <w:tcW w:w="1276" w:type="dxa"/>
          </w:tcPr>
          <w:p w14:paraId="760E3C58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B2DE9E4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729549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D5F9F9" w14:textId="77777777" w:rsidR="007A4DC2" w:rsidRPr="000C3B95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7CE380DF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C2" w:rsidRPr="00A65C7A" w14:paraId="20D765E0" w14:textId="77777777" w:rsidTr="007E1697">
        <w:trPr>
          <w:cantSplit/>
        </w:trPr>
        <w:tc>
          <w:tcPr>
            <w:tcW w:w="1276" w:type="dxa"/>
            <w:vMerge/>
            <w:shd w:val="clear" w:color="auto" w:fill="auto"/>
          </w:tcPr>
          <w:p w14:paraId="0150A6AD" w14:textId="77777777" w:rsid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16E57C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6E8717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412F71" w14:textId="0460AB94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2:</w:t>
            </w:r>
          </w:p>
        </w:tc>
        <w:tc>
          <w:tcPr>
            <w:tcW w:w="1276" w:type="dxa"/>
          </w:tcPr>
          <w:p w14:paraId="55C5FF71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7E57E2D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263BF2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D68437" w14:textId="77777777" w:rsidR="007A4DC2" w:rsidRPr="000C3B95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1B9AE888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C2" w:rsidRPr="00A65C7A" w14:paraId="4936BEFE" w14:textId="77777777" w:rsidTr="007E1697">
        <w:trPr>
          <w:cantSplit/>
        </w:trPr>
        <w:tc>
          <w:tcPr>
            <w:tcW w:w="1276" w:type="dxa"/>
            <w:vMerge/>
            <w:shd w:val="clear" w:color="auto" w:fill="auto"/>
          </w:tcPr>
          <w:p w14:paraId="3D2B7DC3" w14:textId="77777777" w:rsid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846919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C0B3F5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C4899B" w14:textId="0BA30CAF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3:</w:t>
            </w:r>
          </w:p>
        </w:tc>
        <w:tc>
          <w:tcPr>
            <w:tcW w:w="1276" w:type="dxa"/>
          </w:tcPr>
          <w:p w14:paraId="27DFE3B7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32FA63E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096C4B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8C55EF" w14:textId="77777777" w:rsidR="007A4DC2" w:rsidRPr="000C3B95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2CC97FC0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C2" w:rsidRPr="00A65C7A" w14:paraId="5F3A3821" w14:textId="77777777" w:rsidTr="007E1697">
        <w:trPr>
          <w:cantSplit/>
        </w:trPr>
        <w:tc>
          <w:tcPr>
            <w:tcW w:w="1276" w:type="dxa"/>
            <w:vMerge/>
            <w:shd w:val="clear" w:color="auto" w:fill="auto"/>
          </w:tcPr>
          <w:p w14:paraId="0D176E37" w14:textId="77777777" w:rsidR="007A4DC2" w:rsidRDefault="007A4DC2" w:rsidP="00F744C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EBFEC2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993CF5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C44CBC" w14:textId="092A46BB" w:rsidR="007A4DC2" w:rsidRPr="00A363E6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A363E6">
              <w:rPr>
                <w:i/>
                <w:iCs/>
                <w:sz w:val="20"/>
                <w:szCs w:val="20"/>
                <w:lang w:val="en-US"/>
              </w:rPr>
              <w:t>…:</w:t>
            </w:r>
          </w:p>
        </w:tc>
        <w:tc>
          <w:tcPr>
            <w:tcW w:w="1276" w:type="dxa"/>
          </w:tcPr>
          <w:p w14:paraId="18C097F3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F91FBFA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7C703A" w14:textId="77777777" w:rsidR="007A4DC2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EA22B5" w14:textId="77777777" w:rsidR="007A4DC2" w:rsidRPr="000C3B95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6F425816" w14:textId="77777777" w:rsidR="007A4DC2" w:rsidRPr="00A65C7A" w:rsidRDefault="007A4DC2" w:rsidP="00F744CC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F8D3B23" w14:textId="3822605E" w:rsidR="007A4DC2" w:rsidRDefault="007A4DC2"/>
    <w:tbl>
      <w:tblPr>
        <w:tblW w:w="1545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560"/>
        <w:gridCol w:w="1984"/>
        <w:gridCol w:w="2126"/>
        <w:gridCol w:w="1418"/>
        <w:gridCol w:w="1701"/>
        <w:gridCol w:w="1417"/>
        <w:gridCol w:w="1985"/>
      </w:tblGrid>
      <w:tr w:rsidR="00A95DB4" w14:paraId="0A1EE372" w14:textId="77777777" w:rsidTr="00136961">
        <w:trPr>
          <w:tblHeader/>
        </w:trPr>
        <w:tc>
          <w:tcPr>
            <w:tcW w:w="15451" w:type="dxa"/>
            <w:gridSpan w:val="9"/>
            <w:shd w:val="clear" w:color="auto" w:fill="F7CAAC" w:themeFill="accent2" w:themeFillTint="66"/>
          </w:tcPr>
          <w:p w14:paraId="2550F82A" w14:textId="76347795" w:rsidR="00A95DB4" w:rsidRDefault="00A95DB4" w:rsidP="003F1A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b/>
                <w:bCs/>
                <w:smallCaps/>
                <w:lang w:val="en-US"/>
              </w:rPr>
              <w:t>3B</w:t>
            </w:r>
            <w:r w:rsidRPr="00F47283">
              <w:rPr>
                <w:b/>
                <w:bCs/>
                <w:smallCaps/>
                <w:lang w:val="en-US"/>
              </w:rPr>
              <w:t>.</w:t>
            </w:r>
            <w:r w:rsidRPr="00F47283">
              <w:rPr>
                <w:b/>
                <w:bCs/>
                <w:smallCap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8"/>
                <w:szCs w:val="28"/>
                <w:lang w:val="en-US"/>
              </w:rPr>
              <w:t xml:space="preserve">Environment </w:t>
            </w:r>
            <w:r w:rsidRPr="00A65C7A">
              <w:rPr>
                <w:b/>
                <w:bCs/>
                <w:smallCaps/>
                <w:sz w:val="28"/>
                <w:szCs w:val="28"/>
                <w:lang w:val="en-US"/>
              </w:rPr>
              <w:t>classification</w:t>
            </w:r>
            <w:r>
              <w:rPr>
                <w:b/>
                <w:bCs/>
                <w:smallCaps/>
                <w:sz w:val="28"/>
                <w:szCs w:val="28"/>
                <w:lang w:val="en-US"/>
              </w:rPr>
              <w:t xml:space="preserve"> – Product</w:t>
            </w:r>
          </w:p>
          <w:p w14:paraId="07635E22" w14:textId="42C4AE23" w:rsidR="00A95DB4" w:rsidRDefault="00A95DB4" w:rsidP="003F1A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mallCaps/>
                <w:lang w:val="en-US"/>
              </w:rPr>
            </w:pPr>
            <w:r>
              <w:rPr>
                <w:b/>
                <w:bCs/>
                <w:smallCaps/>
                <w:lang w:val="en-US"/>
              </w:rPr>
              <w:t xml:space="preserve">ii. </w:t>
            </w:r>
            <w:r w:rsidRPr="00F744CC">
              <w:rPr>
                <w:b/>
                <w:bCs/>
                <w:lang w:val="en-US"/>
              </w:rPr>
              <w:t xml:space="preserve">Classification of </w:t>
            </w:r>
            <w:r>
              <w:rPr>
                <w:b/>
                <w:bCs/>
                <w:lang w:val="en-US"/>
              </w:rPr>
              <w:t>pesticide products</w:t>
            </w:r>
            <w:r w:rsidRPr="00F744CC">
              <w:rPr>
                <w:b/>
                <w:bCs/>
                <w:lang w:val="en-US"/>
              </w:rPr>
              <w:t xml:space="preserve"> when </w:t>
            </w:r>
            <w:r w:rsidRPr="00FE2946">
              <w:rPr>
                <w:b/>
                <w:bCs/>
                <w:u w:val="single"/>
                <w:lang w:val="en-US"/>
              </w:rPr>
              <w:t>hazard classifications</w:t>
            </w:r>
            <w:r w:rsidRPr="00F744CC">
              <w:rPr>
                <w:b/>
                <w:bCs/>
                <w:lang w:val="en-US"/>
              </w:rPr>
              <w:t xml:space="preserve"> are available for all </w:t>
            </w:r>
            <w:r>
              <w:rPr>
                <w:b/>
                <w:bCs/>
                <w:lang w:val="en-US"/>
              </w:rPr>
              <w:t>substances in the formulation (mixture)</w:t>
            </w:r>
          </w:p>
        </w:tc>
      </w:tr>
      <w:tr w:rsidR="00A95DB4" w:rsidRPr="002472BE" w14:paraId="10EBA82B" w14:textId="77777777" w:rsidTr="007E1697">
        <w:trPr>
          <w:tblHeader/>
        </w:trPr>
        <w:tc>
          <w:tcPr>
            <w:tcW w:w="1276" w:type="dxa"/>
            <w:vMerge w:val="restart"/>
            <w:shd w:val="clear" w:color="auto" w:fill="FBE4D5" w:themeFill="accent2" w:themeFillTint="33"/>
          </w:tcPr>
          <w:p w14:paraId="5E083C84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Hazard class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</w:tcPr>
          <w:p w14:paraId="7D068551" w14:textId="77777777" w:rsidR="00A95DB4" w:rsidRPr="002472B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472BE">
              <w:rPr>
                <w:b/>
                <w:bCs/>
                <w:sz w:val="20"/>
                <w:szCs w:val="20"/>
                <w:lang w:val="en-US"/>
              </w:rPr>
              <w:t>Proposed classification of the product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472BE">
              <w:rPr>
                <w:b/>
                <w:bCs/>
                <w:sz w:val="20"/>
                <w:szCs w:val="20"/>
                <w:lang w:val="en-US"/>
              </w:rPr>
              <w:t>from the application dossier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7E356DCE" w14:textId="77777777" w:rsidR="00A95DB4" w:rsidRPr="00B57AFC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B57AFC">
              <w:rPr>
                <w:b/>
                <w:bCs/>
                <w:sz w:val="20"/>
                <w:szCs w:val="20"/>
              </w:rPr>
              <w:t>Product data from registration dossier or SDS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D1B5C">
              <w:rPr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8646" w:type="dxa"/>
            <w:gridSpan w:val="5"/>
            <w:shd w:val="clear" w:color="auto" w:fill="FBE4D5" w:themeFill="accent2" w:themeFillTint="33"/>
          </w:tcPr>
          <w:p w14:paraId="62C281ED" w14:textId="09CC9DB2" w:rsidR="00A95DB4" w:rsidRPr="002472B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Classification based on substance data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8"/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14:paraId="5AFF584F" w14:textId="77777777" w:rsidR="00A95DB4" w:rsidRPr="002472B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Retained</w:t>
            </w:r>
            <w:r w:rsidRPr="00C800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product </w:t>
            </w:r>
            <w:r w:rsidRPr="00C80009">
              <w:rPr>
                <w:b/>
                <w:bCs/>
                <w:sz w:val="20"/>
                <w:szCs w:val="20"/>
              </w:rPr>
              <w:t>classification and its justification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19"/>
            </w:r>
          </w:p>
        </w:tc>
      </w:tr>
      <w:tr w:rsidR="007E1697" w14:paraId="0967718E" w14:textId="77777777" w:rsidTr="007E1697">
        <w:tc>
          <w:tcPr>
            <w:tcW w:w="1276" w:type="dxa"/>
            <w:vMerge/>
            <w:shd w:val="clear" w:color="auto" w:fill="DEEAF6" w:themeFill="accent1" w:themeFillTint="33"/>
          </w:tcPr>
          <w:p w14:paraId="3B9F2874" w14:textId="77777777" w:rsidR="00A95DB4" w:rsidRDefault="00A95DB4" w:rsidP="003F1A6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14:paraId="63DFB1C5" w14:textId="77777777" w:rsidR="00A95DB4" w:rsidRPr="002472BE" w:rsidRDefault="00A95DB4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</w:tcPr>
          <w:p w14:paraId="17B3C549" w14:textId="77777777" w:rsidR="00A95DB4" w:rsidRPr="00B57AFC" w:rsidRDefault="00A95DB4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66A43884" w14:textId="784896FA" w:rsidR="00A95DB4" w:rsidRDefault="00B1067E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Substance in </w:t>
            </w:r>
            <w:r w:rsidR="00A95DB4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519063B" w14:textId="20D5C963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DB552D">
              <w:rPr>
                <w:b/>
                <w:bCs/>
                <w:sz w:val="20"/>
                <w:szCs w:val="20"/>
              </w:rPr>
              <w:t>Sum of concentrations of relevant substance(s) classified in each category (%)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8433AF0" w14:textId="7D38064E" w:rsidR="00A95DB4" w:rsidRPr="00A95DB4" w:rsidRDefault="00A95DB4" w:rsidP="008C063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95DB4">
              <w:rPr>
                <w:b/>
                <w:bCs/>
                <w:sz w:val="20"/>
                <w:szCs w:val="20"/>
                <w:lang w:val="en-US"/>
              </w:rPr>
              <w:t>M factor</w:t>
            </w:r>
            <w:r w:rsidR="00E00AA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00AA3">
              <w:rPr>
                <w:b/>
                <w:bCs/>
                <w:sz w:val="20"/>
                <w:szCs w:val="20"/>
                <w:lang w:val="en-US"/>
              </w:rPr>
              <w:br/>
            </w:r>
            <w:r w:rsidR="00E00AA3" w:rsidRPr="00E00AA3">
              <w:rPr>
                <w:i/>
                <w:i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C10DCF3" w14:textId="354FFA54" w:rsidR="00A95DB4" w:rsidRDefault="00A95DB4" w:rsidP="008C063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271D7B">
              <w:rPr>
                <w:i/>
                <w:iCs/>
                <w:sz w:val="20"/>
                <w:szCs w:val="20"/>
                <w:lang w:val="en-US"/>
              </w:rPr>
              <w:t>Classification rules for the pesticide product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DF9361C" w14:textId="77777777" w:rsidR="00A95DB4" w:rsidRDefault="00A95DB4" w:rsidP="008C063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Calculated classification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14:paraId="3C9DB64D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E00AA3" w:rsidRPr="00A65C7A" w14:paraId="18A83448" w14:textId="77777777" w:rsidTr="007E1697">
        <w:tc>
          <w:tcPr>
            <w:tcW w:w="1276" w:type="dxa"/>
            <w:vMerge w:val="restart"/>
            <w:shd w:val="clear" w:color="auto" w:fill="auto"/>
          </w:tcPr>
          <w:p w14:paraId="607C164C" w14:textId="131518EE" w:rsidR="00A95DB4" w:rsidRPr="004D64B8" w:rsidRDefault="00A95DB4" w:rsidP="003F1A6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Aquatic acute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37046EA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55D48A9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6B96A6F" w14:textId="79043F11" w:rsidR="00A95DB4" w:rsidRPr="003B3B75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126" w:type="dxa"/>
          </w:tcPr>
          <w:p w14:paraId="42352BDF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E4AE225" w14:textId="77777777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E0D41F" w14:textId="54806B5D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  <w:r w:rsidRPr="00A95DB4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the product using the rules and tables of section </w:t>
            </w:r>
            <w:r w:rsidRPr="000F5DC7">
              <w:rPr>
                <w:i/>
                <w:iCs/>
                <w:sz w:val="18"/>
                <w:szCs w:val="18"/>
                <w:lang w:val="en-US"/>
              </w:rPr>
              <w:t>4.1.3.5.5</w:t>
            </w:r>
            <w:r w:rsidRPr="00A95DB4">
              <w:rPr>
                <w:i/>
                <w:iCs/>
                <w:sz w:val="18"/>
                <w:szCs w:val="18"/>
                <w:lang w:val="en-US"/>
              </w:rPr>
              <w:t xml:space="preserve"> of the GHS.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8364F07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</w:tcPr>
          <w:p w14:paraId="46828800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00AA3" w:rsidRPr="00A65C7A" w14:paraId="5973909B" w14:textId="77777777" w:rsidTr="007E1697">
        <w:tc>
          <w:tcPr>
            <w:tcW w:w="1276" w:type="dxa"/>
            <w:vMerge/>
            <w:shd w:val="clear" w:color="auto" w:fill="auto"/>
          </w:tcPr>
          <w:p w14:paraId="07EA5E30" w14:textId="77777777" w:rsidR="00A95DB4" w:rsidRPr="004D64B8" w:rsidRDefault="00A95DB4" w:rsidP="003F1A6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2C1B79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826C819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D74A71" w14:textId="66201CF8" w:rsidR="00A95DB4" w:rsidRPr="003B3B75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126" w:type="dxa"/>
          </w:tcPr>
          <w:p w14:paraId="684F7EFB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F9CCE89" w14:textId="77777777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C74A49" w14:textId="49D29B4E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79A9F7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1A7A1B3C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00AA3" w:rsidRPr="00A65C7A" w14:paraId="659594A5" w14:textId="77777777" w:rsidTr="007E1697">
        <w:tc>
          <w:tcPr>
            <w:tcW w:w="1276" w:type="dxa"/>
            <w:vMerge/>
            <w:shd w:val="clear" w:color="auto" w:fill="auto"/>
          </w:tcPr>
          <w:p w14:paraId="417F72E9" w14:textId="77777777" w:rsidR="00A95DB4" w:rsidRPr="004D64B8" w:rsidRDefault="00A95DB4" w:rsidP="003F1A6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1681E00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53B92C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F3984B" w14:textId="65576DE7" w:rsidR="00A95DB4" w:rsidRPr="003B3B75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2126" w:type="dxa"/>
          </w:tcPr>
          <w:p w14:paraId="1C26176A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42D58DBB" w14:textId="77777777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5D10C0" w14:textId="2DAC3763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5899E4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77146C8F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00AA3" w:rsidRPr="00A65C7A" w14:paraId="0DBC5548" w14:textId="77777777" w:rsidTr="007E1697">
        <w:tc>
          <w:tcPr>
            <w:tcW w:w="1276" w:type="dxa"/>
            <w:vMerge w:val="restart"/>
            <w:shd w:val="clear" w:color="auto" w:fill="auto"/>
          </w:tcPr>
          <w:p w14:paraId="367470F5" w14:textId="7929A924" w:rsidR="00A95DB4" w:rsidRPr="004D64B8" w:rsidRDefault="00A95DB4" w:rsidP="003F1A6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Aquatic chronic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C1E39E0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E9F1C2C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0876A2" w14:textId="258328F6" w:rsidR="00A95DB4" w:rsidRPr="003B6A9D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</w:t>
            </w:r>
          </w:p>
        </w:tc>
        <w:tc>
          <w:tcPr>
            <w:tcW w:w="2126" w:type="dxa"/>
          </w:tcPr>
          <w:p w14:paraId="34BC1CF6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1AB4109" w14:textId="77777777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FAFE9BA" w14:textId="6B8008AC" w:rsidR="00A95DB4" w:rsidRP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  <w:iCs/>
                <w:sz w:val="18"/>
                <w:szCs w:val="18"/>
                <w:lang w:val="en-US"/>
              </w:rPr>
            </w:pPr>
            <w:r w:rsidRPr="00A95DB4">
              <w:rPr>
                <w:i/>
                <w:iCs/>
                <w:sz w:val="18"/>
                <w:szCs w:val="18"/>
                <w:lang w:val="en-US"/>
              </w:rPr>
              <w:t xml:space="preserve">Determine the classification of the product using the rules and tables of section </w:t>
            </w:r>
            <w:r w:rsidRPr="00A95DB4">
              <w:rPr>
                <w:rFonts w:cs="Calibri"/>
                <w:i/>
                <w:iCs/>
                <w:sz w:val="18"/>
                <w:szCs w:val="18"/>
                <w:lang w:val="en-US"/>
              </w:rPr>
              <w:t>4.1.3.5.5</w:t>
            </w:r>
            <w:r w:rsidRPr="00A95DB4">
              <w:rPr>
                <w:i/>
                <w:iCs/>
                <w:sz w:val="18"/>
                <w:szCs w:val="18"/>
                <w:lang w:val="en-US"/>
              </w:rPr>
              <w:t xml:space="preserve"> of the GHS.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A64EAE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</w:tcPr>
          <w:p w14:paraId="29250EFA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00AA3" w:rsidRPr="00A65C7A" w14:paraId="7D617D87" w14:textId="77777777" w:rsidTr="007E1697">
        <w:tc>
          <w:tcPr>
            <w:tcW w:w="1276" w:type="dxa"/>
            <w:vMerge/>
            <w:shd w:val="clear" w:color="auto" w:fill="auto"/>
          </w:tcPr>
          <w:p w14:paraId="4693FC68" w14:textId="77777777" w:rsidR="00A95DB4" w:rsidRDefault="00A95DB4" w:rsidP="003F1A6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470C1B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A837FB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6787FA8" w14:textId="7C639659" w:rsidR="00A95DB4" w:rsidRPr="003B6A9D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</w:t>
            </w:r>
          </w:p>
        </w:tc>
        <w:tc>
          <w:tcPr>
            <w:tcW w:w="2126" w:type="dxa"/>
          </w:tcPr>
          <w:p w14:paraId="07C64A51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D7737B5" w14:textId="77777777" w:rsidR="00A95DB4" w:rsidRPr="00A929D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1DC9AF" w14:textId="01EAF2F4" w:rsidR="00A95DB4" w:rsidRPr="00A929D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CF2A9F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58A2ECC1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00AA3" w:rsidRPr="00A65C7A" w14:paraId="0E42EE06" w14:textId="77777777" w:rsidTr="007E1697">
        <w:tc>
          <w:tcPr>
            <w:tcW w:w="1276" w:type="dxa"/>
            <w:vMerge/>
            <w:shd w:val="clear" w:color="auto" w:fill="auto"/>
          </w:tcPr>
          <w:p w14:paraId="5FDEDEDC" w14:textId="77777777" w:rsidR="00A95DB4" w:rsidRDefault="00A95DB4" w:rsidP="003F1A6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1883D4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8610B1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3B2461" w14:textId="4A49AC0D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</w:t>
            </w:r>
          </w:p>
        </w:tc>
        <w:tc>
          <w:tcPr>
            <w:tcW w:w="2126" w:type="dxa"/>
          </w:tcPr>
          <w:p w14:paraId="74EF5B0D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70AF170" w14:textId="77777777" w:rsidR="00A95DB4" w:rsidRPr="00A929D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84FC4F" w14:textId="51A0F605" w:rsidR="00A95DB4" w:rsidRPr="00A929D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1D01C79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77E10327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00AA3" w:rsidRPr="00A65C7A" w14:paraId="7F7EB916" w14:textId="77777777" w:rsidTr="007E1697">
        <w:tc>
          <w:tcPr>
            <w:tcW w:w="1276" w:type="dxa"/>
            <w:vMerge/>
            <w:shd w:val="clear" w:color="auto" w:fill="auto"/>
          </w:tcPr>
          <w:p w14:paraId="02F6B2FF" w14:textId="77777777" w:rsidR="00A95DB4" w:rsidRDefault="00A95DB4" w:rsidP="003F1A6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D99CE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426461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11C756" w14:textId="097942A4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</w:t>
            </w:r>
          </w:p>
        </w:tc>
        <w:tc>
          <w:tcPr>
            <w:tcW w:w="2126" w:type="dxa"/>
          </w:tcPr>
          <w:p w14:paraId="62190FDF" w14:textId="77777777" w:rsidR="00A95DB4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63CBB2DA" w14:textId="77777777" w:rsidR="00A95DB4" w:rsidRPr="00A929D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82D1D9" w14:textId="69DD246F" w:rsidR="00A95DB4" w:rsidRPr="00A929DE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B96AFE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14:paraId="4B4A612C" w14:textId="77777777" w:rsidR="00A95DB4" w:rsidRPr="00A65C7A" w:rsidRDefault="00A95DB4" w:rsidP="003F1A6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B715F57" w14:textId="77777777" w:rsidR="00DB552D" w:rsidRPr="00DB552D" w:rsidRDefault="00DB552D" w:rsidP="00823AF1">
      <w:pPr>
        <w:rPr>
          <w:rFonts w:ascii="Tahoma" w:hAnsi="Tahoma" w:cs="Tahoma"/>
          <w:b/>
          <w:bCs/>
          <w:lang w:val="en-US"/>
        </w:rPr>
      </w:pPr>
    </w:p>
    <w:sectPr w:rsidR="00DB552D" w:rsidRPr="00DB552D" w:rsidSect="00265758">
      <w:footerReference w:type="default" r:id="rId8"/>
      <w:pgSz w:w="16839" w:h="11907" w:orient="landscape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6667" w14:textId="77777777" w:rsidR="00220682" w:rsidRDefault="00220682" w:rsidP="0099635B">
      <w:pPr>
        <w:spacing w:after="0" w:line="240" w:lineRule="auto"/>
      </w:pPr>
      <w:r>
        <w:separator/>
      </w:r>
    </w:p>
  </w:endnote>
  <w:endnote w:type="continuationSeparator" w:id="0">
    <w:p w14:paraId="7145EF5B" w14:textId="77777777" w:rsidR="00220682" w:rsidRDefault="00220682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9539" w14:textId="77777777" w:rsidR="0099635B" w:rsidRPr="0099635B" w:rsidRDefault="0099635B" w:rsidP="0099635B">
    <w:pPr>
      <w:pStyle w:val="Footer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C63186" w:rsidRPr="00C63186">
      <w:rPr>
        <w:rFonts w:ascii="Tahoma" w:hAnsi="Tahoma" w:cs="Tahoma"/>
        <w:b/>
        <w:noProof/>
        <w:sz w:val="20"/>
        <w:lang w:val="nl-NL"/>
      </w:rPr>
      <w:t>1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39A8" w14:textId="77777777" w:rsidR="00220682" w:rsidRDefault="00220682" w:rsidP="0099635B">
      <w:pPr>
        <w:spacing w:after="0" w:line="240" w:lineRule="auto"/>
      </w:pPr>
      <w:r>
        <w:separator/>
      </w:r>
    </w:p>
  </w:footnote>
  <w:footnote w:type="continuationSeparator" w:id="0">
    <w:p w14:paraId="6C64FE29" w14:textId="77777777" w:rsidR="00220682" w:rsidRDefault="00220682" w:rsidP="0099635B">
      <w:pPr>
        <w:spacing w:after="0" w:line="240" w:lineRule="auto"/>
      </w:pPr>
      <w:r>
        <w:continuationSeparator/>
      </w:r>
    </w:p>
  </w:footnote>
  <w:footnote w:id="1">
    <w:p w14:paraId="5C3B24C1" w14:textId="361E9C27" w:rsidR="00C80009" w:rsidRPr="005F6140" w:rsidRDefault="00C80009" w:rsidP="000A7159">
      <w:pPr>
        <w:pStyle w:val="FootnoteText"/>
        <w:spacing w:before="60"/>
        <w:rPr>
          <w:sz w:val="18"/>
          <w:szCs w:val="18"/>
        </w:rPr>
      </w:pPr>
      <w:r w:rsidRPr="005F6140">
        <w:rPr>
          <w:rStyle w:val="FootnoteReference"/>
          <w:sz w:val="18"/>
          <w:szCs w:val="18"/>
        </w:rPr>
        <w:footnoteRef/>
      </w:r>
      <w:r w:rsidRPr="005F6140">
        <w:rPr>
          <w:sz w:val="18"/>
          <w:szCs w:val="18"/>
        </w:rPr>
        <w:t xml:space="preserve"> SDS = </w:t>
      </w:r>
      <w:r w:rsidRPr="005F6140">
        <w:rPr>
          <w:sz w:val="18"/>
          <w:szCs w:val="18"/>
          <w:lang w:val="en-US"/>
        </w:rPr>
        <w:t>Safety Data Sheet</w:t>
      </w:r>
    </w:p>
  </w:footnote>
  <w:footnote w:id="2">
    <w:p w14:paraId="78C78CB9" w14:textId="55C62F1A" w:rsidR="00C80009" w:rsidRDefault="00C80009" w:rsidP="000A7159">
      <w:pPr>
        <w:pStyle w:val="FootnoteText"/>
        <w:spacing w:before="60"/>
      </w:pPr>
      <w:r w:rsidRPr="005F6140">
        <w:rPr>
          <w:rStyle w:val="FootnoteReference"/>
          <w:sz w:val="18"/>
          <w:szCs w:val="18"/>
        </w:rPr>
        <w:footnoteRef/>
      </w:r>
      <w:r w:rsidRPr="005F6140">
        <w:rPr>
          <w:sz w:val="18"/>
          <w:szCs w:val="18"/>
        </w:rPr>
        <w:t xml:space="preserve"> </w:t>
      </w:r>
      <w:r w:rsidRPr="005F6140">
        <w:rPr>
          <w:sz w:val="18"/>
          <w:szCs w:val="18"/>
          <w:lang w:val="en-US"/>
        </w:rPr>
        <w:t>Indicate which classification was retained and why this was done. If needed, contact the applicant for further explanations of their classification.</w:t>
      </w:r>
    </w:p>
  </w:footnote>
  <w:footnote w:id="3">
    <w:p w14:paraId="2AFBA5C2" w14:textId="75BE129A" w:rsidR="004D64B8" w:rsidRPr="005F6140" w:rsidRDefault="004D64B8" w:rsidP="000A7159">
      <w:pPr>
        <w:pStyle w:val="FootnoteText"/>
        <w:spacing w:before="60"/>
        <w:ind w:left="284" w:hanging="284"/>
        <w:rPr>
          <w:sz w:val="18"/>
          <w:szCs w:val="18"/>
        </w:rPr>
      </w:pPr>
      <w:r w:rsidRPr="005F6140">
        <w:rPr>
          <w:rStyle w:val="FootnoteReference"/>
          <w:sz w:val="18"/>
          <w:szCs w:val="18"/>
        </w:rPr>
        <w:footnoteRef/>
      </w:r>
      <w:r w:rsidRPr="005F6140">
        <w:rPr>
          <w:sz w:val="18"/>
          <w:szCs w:val="18"/>
        </w:rPr>
        <w:t xml:space="preserve"> </w:t>
      </w:r>
      <w:r w:rsidR="000A7159">
        <w:rPr>
          <w:sz w:val="18"/>
          <w:szCs w:val="18"/>
        </w:rPr>
        <w:tab/>
      </w:r>
      <w:r w:rsidRPr="005F6140">
        <w:rPr>
          <w:sz w:val="18"/>
          <w:szCs w:val="18"/>
        </w:rPr>
        <w:t xml:space="preserve">SDS = </w:t>
      </w:r>
      <w:r w:rsidRPr="005F6140">
        <w:rPr>
          <w:sz w:val="18"/>
          <w:szCs w:val="18"/>
          <w:lang w:val="en-US"/>
        </w:rPr>
        <w:t>Safety Data Sheet</w:t>
      </w:r>
    </w:p>
  </w:footnote>
  <w:footnote w:id="4">
    <w:p w14:paraId="1312DBAC" w14:textId="17DC856D" w:rsidR="004D64B8" w:rsidRDefault="004D64B8" w:rsidP="000A7159">
      <w:pPr>
        <w:pStyle w:val="FootnoteText"/>
        <w:spacing w:before="60"/>
        <w:ind w:left="284" w:hanging="284"/>
      </w:pPr>
      <w:r w:rsidRPr="005F6140">
        <w:rPr>
          <w:rStyle w:val="FootnoteReference"/>
          <w:sz w:val="18"/>
          <w:szCs w:val="18"/>
        </w:rPr>
        <w:footnoteRef/>
      </w:r>
      <w:r w:rsidRPr="005F6140">
        <w:rPr>
          <w:sz w:val="18"/>
          <w:szCs w:val="18"/>
        </w:rPr>
        <w:t xml:space="preserve"> </w:t>
      </w:r>
      <w:r w:rsidR="000A7159">
        <w:rPr>
          <w:sz w:val="18"/>
          <w:szCs w:val="18"/>
        </w:rPr>
        <w:tab/>
      </w:r>
      <w:r w:rsidRPr="005F6140">
        <w:rPr>
          <w:sz w:val="18"/>
          <w:szCs w:val="18"/>
          <w:lang w:val="en-US"/>
        </w:rPr>
        <w:t>Indicate which classification was retained and why this was done. If needed, contact the applicant for further explanations of their classification.</w:t>
      </w:r>
    </w:p>
  </w:footnote>
  <w:footnote w:id="5">
    <w:p w14:paraId="17B3E823" w14:textId="445A3AD3" w:rsidR="000C3B95" w:rsidRPr="00A363E6" w:rsidRDefault="000C3B95" w:rsidP="000A7159">
      <w:pPr>
        <w:pStyle w:val="FootnoteText"/>
        <w:spacing w:before="40"/>
        <w:ind w:left="284" w:hanging="284"/>
        <w:rPr>
          <w:sz w:val="18"/>
          <w:szCs w:val="18"/>
        </w:rPr>
      </w:pPr>
      <w:r w:rsidRPr="00A363E6">
        <w:rPr>
          <w:rStyle w:val="FootnoteReference"/>
          <w:sz w:val="18"/>
          <w:szCs w:val="18"/>
        </w:rPr>
        <w:footnoteRef/>
      </w:r>
      <w:r w:rsidRPr="00A363E6">
        <w:rPr>
          <w:sz w:val="18"/>
          <w:szCs w:val="18"/>
        </w:rPr>
        <w:t xml:space="preserve"> </w:t>
      </w:r>
      <w:r w:rsidR="00A363E6">
        <w:rPr>
          <w:sz w:val="18"/>
          <w:szCs w:val="18"/>
        </w:rPr>
        <w:tab/>
      </w:r>
      <w:r w:rsidRPr="00A363E6">
        <w:rPr>
          <w:sz w:val="18"/>
          <w:szCs w:val="18"/>
        </w:rPr>
        <w:t>Only relevant substances in the formulated product (pesticide active ingredient and relevant co-formulants) need to be included in the calculation of the Acute Toxicity Estimate (ATE) of the mixture.</w:t>
      </w:r>
    </w:p>
  </w:footnote>
  <w:footnote w:id="6">
    <w:p w14:paraId="6C03F69F" w14:textId="548F9940" w:rsidR="000C3B95" w:rsidRPr="00A363E6" w:rsidRDefault="000C3B95" w:rsidP="000A7159">
      <w:pPr>
        <w:pStyle w:val="FootnoteText"/>
        <w:spacing w:before="40"/>
        <w:ind w:left="284" w:hanging="284"/>
        <w:rPr>
          <w:sz w:val="18"/>
          <w:szCs w:val="18"/>
        </w:rPr>
      </w:pPr>
      <w:r w:rsidRPr="00A363E6">
        <w:rPr>
          <w:rStyle w:val="FootnoteReference"/>
          <w:sz w:val="18"/>
          <w:szCs w:val="18"/>
        </w:rPr>
        <w:footnoteRef/>
      </w:r>
      <w:r w:rsidRPr="00A363E6">
        <w:rPr>
          <w:sz w:val="18"/>
          <w:szCs w:val="18"/>
        </w:rPr>
        <w:t xml:space="preserve"> </w:t>
      </w:r>
      <w:r w:rsidR="00A363E6">
        <w:rPr>
          <w:sz w:val="18"/>
          <w:szCs w:val="18"/>
        </w:rPr>
        <w:tab/>
      </w:r>
      <w:r w:rsidRPr="00A363E6">
        <w:rPr>
          <w:sz w:val="18"/>
          <w:szCs w:val="18"/>
          <w:lang w:val="en-US"/>
        </w:rPr>
        <w:t>Indicate which classification was retained and why this was done. If needed, contact the applicant for further explanations of their classification.</w:t>
      </w:r>
    </w:p>
  </w:footnote>
  <w:footnote w:id="7">
    <w:p w14:paraId="51163B13" w14:textId="49249105" w:rsidR="00A363E6" w:rsidRPr="00A363E6" w:rsidRDefault="00A363E6" w:rsidP="000A7159">
      <w:pPr>
        <w:pStyle w:val="FootnoteText"/>
        <w:spacing w:before="40"/>
        <w:ind w:left="284" w:hanging="284"/>
        <w:rPr>
          <w:sz w:val="18"/>
          <w:szCs w:val="18"/>
        </w:rPr>
      </w:pPr>
      <w:r w:rsidRPr="00A363E6">
        <w:rPr>
          <w:rStyle w:val="FootnoteReference"/>
          <w:sz w:val="18"/>
          <w:szCs w:val="18"/>
        </w:rPr>
        <w:footnoteRef/>
      </w:r>
      <w:r w:rsidRPr="00A363E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3E6">
        <w:rPr>
          <w:sz w:val="18"/>
          <w:szCs w:val="18"/>
        </w:rPr>
        <w:t>Enter relevant substances in this column; add lines for additional substances if required</w:t>
      </w:r>
      <w:r>
        <w:rPr>
          <w:sz w:val="18"/>
          <w:szCs w:val="18"/>
        </w:rPr>
        <w:t>.</w:t>
      </w:r>
    </w:p>
  </w:footnote>
  <w:footnote w:id="8">
    <w:p w14:paraId="734943C5" w14:textId="691EFBC4" w:rsidR="00A363E6" w:rsidRDefault="00A363E6" w:rsidP="000A7159">
      <w:pPr>
        <w:pStyle w:val="FootnoteText"/>
        <w:spacing w:before="40"/>
        <w:ind w:left="284" w:hanging="284"/>
      </w:pPr>
      <w:r w:rsidRPr="00A363E6">
        <w:rPr>
          <w:rStyle w:val="FootnoteReference"/>
          <w:sz w:val="18"/>
          <w:szCs w:val="18"/>
        </w:rPr>
        <w:footnoteRef/>
      </w:r>
      <w:r w:rsidRPr="00A363E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63E54">
        <w:rPr>
          <w:sz w:val="18"/>
          <w:szCs w:val="18"/>
        </w:rPr>
        <w:t xml:space="preserve">If available, </w:t>
      </w:r>
      <w:r w:rsidRPr="00A363E6">
        <w:rPr>
          <w:sz w:val="18"/>
          <w:szCs w:val="18"/>
        </w:rPr>
        <w:t>LD</w:t>
      </w:r>
      <w:r w:rsidRPr="00A363E6">
        <w:rPr>
          <w:sz w:val="18"/>
          <w:szCs w:val="18"/>
          <w:vertAlign w:val="subscript"/>
        </w:rPr>
        <w:t>50</w:t>
      </w:r>
      <w:r w:rsidRPr="00A363E6">
        <w:rPr>
          <w:sz w:val="18"/>
          <w:szCs w:val="18"/>
        </w:rPr>
        <w:t xml:space="preserve"> values </w:t>
      </w:r>
      <w:r w:rsidR="00163E54">
        <w:rPr>
          <w:sz w:val="18"/>
          <w:szCs w:val="18"/>
        </w:rPr>
        <w:t>of</w:t>
      </w:r>
      <w:r w:rsidRPr="00A363E6">
        <w:rPr>
          <w:sz w:val="18"/>
          <w:szCs w:val="18"/>
        </w:rPr>
        <w:t xml:space="preserve"> the substance</w:t>
      </w:r>
      <w:r w:rsidR="00163E54">
        <w:rPr>
          <w:sz w:val="18"/>
          <w:szCs w:val="18"/>
        </w:rPr>
        <w:t>s should be entered here. If no LD</w:t>
      </w:r>
      <w:r w:rsidR="00163E54" w:rsidRPr="00163E54">
        <w:rPr>
          <w:sz w:val="18"/>
          <w:szCs w:val="18"/>
          <w:vertAlign w:val="subscript"/>
        </w:rPr>
        <w:t>50</w:t>
      </w:r>
      <w:r w:rsidR="00163E54">
        <w:rPr>
          <w:sz w:val="18"/>
          <w:szCs w:val="18"/>
        </w:rPr>
        <w:t xml:space="preserve"> values are available, but the substance </w:t>
      </w:r>
      <w:r w:rsidRPr="00A363E6">
        <w:rPr>
          <w:sz w:val="18"/>
          <w:szCs w:val="18"/>
        </w:rPr>
        <w:t xml:space="preserve">has been classified, the converted acute toxicity estimate of the </w:t>
      </w:r>
      <w:r w:rsidR="00163E54">
        <w:rPr>
          <w:sz w:val="18"/>
          <w:szCs w:val="18"/>
        </w:rPr>
        <w:t xml:space="preserve">respective acute toxicity category </w:t>
      </w:r>
      <w:r w:rsidRPr="00A363E6">
        <w:rPr>
          <w:sz w:val="18"/>
          <w:szCs w:val="18"/>
        </w:rPr>
        <w:t xml:space="preserve">can be </w:t>
      </w:r>
      <w:r w:rsidR="00163E54">
        <w:rPr>
          <w:sz w:val="18"/>
          <w:szCs w:val="18"/>
        </w:rPr>
        <w:t>entered</w:t>
      </w:r>
      <w:r w:rsidRPr="00A363E6">
        <w:rPr>
          <w:sz w:val="18"/>
          <w:szCs w:val="18"/>
        </w:rPr>
        <w:t xml:space="preserve"> in the formula (see Table 3.1.2 in the GHS)</w:t>
      </w:r>
      <w:r>
        <w:rPr>
          <w:sz w:val="18"/>
          <w:szCs w:val="18"/>
        </w:rPr>
        <w:t>.</w:t>
      </w:r>
    </w:p>
  </w:footnote>
  <w:footnote w:id="9">
    <w:p w14:paraId="5B59A86C" w14:textId="65BB6FFF" w:rsidR="000A7159" w:rsidRPr="000A7159" w:rsidRDefault="000A7159" w:rsidP="000A7159">
      <w:pPr>
        <w:pStyle w:val="FootnoteText"/>
        <w:ind w:left="284" w:hanging="284"/>
        <w:rPr>
          <w:sz w:val="18"/>
          <w:szCs w:val="18"/>
        </w:rPr>
      </w:pPr>
      <w:r w:rsidRPr="000A7159">
        <w:rPr>
          <w:rStyle w:val="FootnoteReference"/>
          <w:sz w:val="18"/>
          <w:szCs w:val="18"/>
        </w:rPr>
        <w:footnoteRef/>
      </w:r>
      <w:r w:rsidRPr="000A715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A7159">
        <w:rPr>
          <w:sz w:val="18"/>
          <w:szCs w:val="18"/>
        </w:rPr>
        <w:t xml:space="preserve">Only relevant substances in the formulated product (pesticide active ingredient and relevant co-formulants) need to be included in the calculation of the </w:t>
      </w:r>
      <w:r w:rsidR="00A95DB4">
        <w:rPr>
          <w:sz w:val="18"/>
          <w:szCs w:val="18"/>
        </w:rPr>
        <w:t>hazard class</w:t>
      </w:r>
      <w:r w:rsidRPr="000A7159">
        <w:rPr>
          <w:sz w:val="18"/>
          <w:szCs w:val="18"/>
        </w:rPr>
        <w:t xml:space="preserve"> of the mixture.</w:t>
      </w:r>
    </w:p>
  </w:footnote>
  <w:footnote w:id="10">
    <w:p w14:paraId="199F0BFB" w14:textId="1BF9F650" w:rsidR="000A7159" w:rsidRDefault="000A7159" w:rsidP="000A7159">
      <w:pPr>
        <w:pStyle w:val="FootnoteText"/>
        <w:ind w:left="284" w:hanging="284"/>
      </w:pPr>
      <w:r w:rsidRPr="000A7159">
        <w:rPr>
          <w:rStyle w:val="FootnoteReference"/>
          <w:sz w:val="18"/>
          <w:szCs w:val="18"/>
        </w:rPr>
        <w:footnoteRef/>
      </w:r>
      <w:r w:rsidRPr="000A715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A7159">
        <w:rPr>
          <w:sz w:val="18"/>
          <w:szCs w:val="18"/>
          <w:lang w:val="en-US"/>
        </w:rPr>
        <w:t>Indicate which classification was retained and why this was done. If needed, contact the applicant for further explanations of their classification.</w:t>
      </w:r>
    </w:p>
  </w:footnote>
  <w:footnote w:id="11">
    <w:p w14:paraId="0695AD22" w14:textId="2FFA67CF" w:rsidR="001371F6" w:rsidRPr="000A7159" w:rsidRDefault="001371F6" w:rsidP="00F505B7">
      <w:pPr>
        <w:pStyle w:val="FootnoteText"/>
        <w:ind w:left="284" w:hanging="284"/>
        <w:rPr>
          <w:sz w:val="18"/>
          <w:szCs w:val="18"/>
        </w:rPr>
      </w:pPr>
      <w:r w:rsidRPr="000A7159">
        <w:rPr>
          <w:rStyle w:val="FootnoteReference"/>
          <w:sz w:val="18"/>
          <w:szCs w:val="18"/>
        </w:rPr>
        <w:footnoteRef/>
      </w:r>
      <w:r w:rsidRPr="000A715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A7159">
        <w:rPr>
          <w:sz w:val="18"/>
          <w:szCs w:val="18"/>
        </w:rPr>
        <w:t xml:space="preserve">Only relevant substances in the formulated product (pesticide active ingredient and relevant co-formulants) need to be included in the calculation of the </w:t>
      </w:r>
      <w:r w:rsidR="00A95DB4">
        <w:rPr>
          <w:sz w:val="18"/>
          <w:szCs w:val="18"/>
        </w:rPr>
        <w:t>hazard class</w:t>
      </w:r>
      <w:r w:rsidRPr="000A7159">
        <w:rPr>
          <w:sz w:val="18"/>
          <w:szCs w:val="18"/>
        </w:rPr>
        <w:t xml:space="preserve"> of the mixture.</w:t>
      </w:r>
    </w:p>
  </w:footnote>
  <w:footnote w:id="12">
    <w:p w14:paraId="371FA295" w14:textId="77777777" w:rsidR="001371F6" w:rsidRDefault="001371F6" w:rsidP="00F505B7">
      <w:pPr>
        <w:pStyle w:val="FootnoteText"/>
        <w:ind w:left="284" w:hanging="284"/>
      </w:pPr>
      <w:r w:rsidRPr="000A7159">
        <w:rPr>
          <w:rStyle w:val="FootnoteReference"/>
          <w:sz w:val="18"/>
          <w:szCs w:val="18"/>
        </w:rPr>
        <w:footnoteRef/>
      </w:r>
      <w:r w:rsidRPr="000A715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A7159">
        <w:rPr>
          <w:sz w:val="18"/>
          <w:szCs w:val="18"/>
          <w:lang w:val="en-US"/>
        </w:rPr>
        <w:t>Indicate which classification was retained and why this was done. If needed, contact the applicant for further explanations of their classification.</w:t>
      </w:r>
    </w:p>
  </w:footnote>
  <w:footnote w:id="13">
    <w:p w14:paraId="1A49C246" w14:textId="0D9A574E" w:rsidR="001371F6" w:rsidRDefault="001371F6" w:rsidP="001371F6">
      <w:pPr>
        <w:pStyle w:val="FootnoteText"/>
        <w:ind w:left="284" w:hanging="284"/>
      </w:pPr>
      <w:r w:rsidRPr="001371F6">
        <w:rPr>
          <w:rStyle w:val="FootnoteReference"/>
          <w:sz w:val="18"/>
          <w:szCs w:val="18"/>
        </w:rPr>
        <w:footnoteRef/>
      </w:r>
      <w:r w:rsidRPr="001371F6">
        <w:rPr>
          <w:sz w:val="18"/>
          <w:szCs w:val="18"/>
        </w:rPr>
        <w:t xml:space="preserve"> </w:t>
      </w:r>
      <w:r w:rsidRPr="001371F6">
        <w:rPr>
          <w:sz w:val="18"/>
          <w:szCs w:val="18"/>
        </w:rPr>
        <w:tab/>
        <w:t xml:space="preserve">For the non-additive hazard classes, the formulated pesticide product (mixture) </w:t>
      </w:r>
      <w:r w:rsidR="002A5F0A">
        <w:rPr>
          <w:sz w:val="18"/>
          <w:szCs w:val="18"/>
        </w:rPr>
        <w:t>will</w:t>
      </w:r>
      <w:r w:rsidRPr="001371F6">
        <w:rPr>
          <w:sz w:val="18"/>
          <w:szCs w:val="18"/>
        </w:rPr>
        <w:t xml:space="preserve"> be classified for </w:t>
      </w:r>
      <w:r w:rsidR="002A5F0A">
        <w:rPr>
          <w:sz w:val="18"/>
          <w:szCs w:val="18"/>
        </w:rPr>
        <w:t>a given</w:t>
      </w:r>
      <w:r w:rsidRPr="001371F6">
        <w:rPr>
          <w:sz w:val="18"/>
          <w:szCs w:val="18"/>
        </w:rPr>
        <w:t xml:space="preserve"> hazard when at least one ingredient has been classified for that hazard, and is present at or above the appropriate concentration limit.</w:t>
      </w:r>
    </w:p>
  </w:footnote>
  <w:footnote w:id="14">
    <w:p w14:paraId="6CFF6F9F" w14:textId="6A505E12" w:rsidR="00B1067E" w:rsidRDefault="00B1067E" w:rsidP="008C0638">
      <w:pPr>
        <w:pStyle w:val="FootnoteText"/>
        <w:ind w:left="284" w:hanging="284"/>
      </w:pPr>
      <w:r w:rsidRPr="008C0638">
        <w:rPr>
          <w:rStyle w:val="FootnoteReference"/>
          <w:sz w:val="18"/>
          <w:szCs w:val="18"/>
        </w:rPr>
        <w:footnoteRef/>
      </w:r>
      <w:r w:rsidRPr="008C0638">
        <w:rPr>
          <w:sz w:val="18"/>
          <w:szCs w:val="18"/>
        </w:rPr>
        <w:t xml:space="preserve"> </w:t>
      </w:r>
      <w:r w:rsidR="008C0638" w:rsidRPr="008C0638">
        <w:rPr>
          <w:sz w:val="18"/>
          <w:szCs w:val="18"/>
        </w:rPr>
        <w:tab/>
        <w:t>Either table 3B-I or Table 3B-ii is filled out, depending on whether toxicity data or hazard classifications are available for the substances in the product</w:t>
      </w:r>
    </w:p>
  </w:footnote>
  <w:footnote w:id="15">
    <w:p w14:paraId="22AE39AD" w14:textId="03CC8C8C" w:rsidR="00F744CC" w:rsidRPr="00A363E6" w:rsidRDefault="00F744CC" w:rsidP="00F744CC">
      <w:pPr>
        <w:pStyle w:val="FootnoteText"/>
        <w:spacing w:before="40"/>
        <w:ind w:left="284" w:hanging="284"/>
        <w:rPr>
          <w:sz w:val="18"/>
          <w:szCs w:val="18"/>
        </w:rPr>
      </w:pPr>
      <w:r w:rsidRPr="00A363E6">
        <w:rPr>
          <w:rStyle w:val="FootnoteReference"/>
          <w:sz w:val="18"/>
          <w:szCs w:val="18"/>
        </w:rPr>
        <w:footnoteRef/>
      </w:r>
      <w:r w:rsidRPr="00A363E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3E6">
        <w:rPr>
          <w:sz w:val="18"/>
          <w:szCs w:val="18"/>
        </w:rPr>
        <w:t xml:space="preserve">Only relevant substances in the formulated product (pesticide active ingredient and relevant co-formulants) need to be included in the calculation of the </w:t>
      </w:r>
      <w:r w:rsidR="00A95DB4">
        <w:rPr>
          <w:sz w:val="18"/>
          <w:szCs w:val="18"/>
        </w:rPr>
        <w:t>toxicity</w:t>
      </w:r>
      <w:r w:rsidRPr="00A363E6">
        <w:rPr>
          <w:sz w:val="18"/>
          <w:szCs w:val="18"/>
        </w:rPr>
        <w:t xml:space="preserve"> of the mixture.</w:t>
      </w:r>
    </w:p>
  </w:footnote>
  <w:footnote w:id="16">
    <w:p w14:paraId="10E76237" w14:textId="77777777" w:rsidR="00F744CC" w:rsidRPr="00A363E6" w:rsidRDefault="00F744CC" w:rsidP="00F744CC">
      <w:pPr>
        <w:pStyle w:val="FootnoteText"/>
        <w:spacing w:before="40"/>
        <w:ind w:left="284" w:hanging="284"/>
        <w:rPr>
          <w:sz w:val="18"/>
          <w:szCs w:val="18"/>
        </w:rPr>
      </w:pPr>
      <w:r w:rsidRPr="00A363E6">
        <w:rPr>
          <w:rStyle w:val="FootnoteReference"/>
          <w:sz w:val="18"/>
          <w:szCs w:val="18"/>
        </w:rPr>
        <w:footnoteRef/>
      </w:r>
      <w:r w:rsidRPr="00A363E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3E6">
        <w:rPr>
          <w:sz w:val="18"/>
          <w:szCs w:val="18"/>
          <w:lang w:val="en-US"/>
        </w:rPr>
        <w:t>Indicate which classification was retained and why this was done. If needed, contact the applicant for further explanations of their classification.</w:t>
      </w:r>
    </w:p>
  </w:footnote>
  <w:footnote w:id="17">
    <w:p w14:paraId="17AF8C95" w14:textId="77777777" w:rsidR="00F744CC" w:rsidRPr="00A363E6" w:rsidRDefault="00F744CC" w:rsidP="00F744CC">
      <w:pPr>
        <w:pStyle w:val="FootnoteText"/>
        <w:spacing w:before="40"/>
        <w:ind w:left="284" w:hanging="284"/>
        <w:rPr>
          <w:sz w:val="18"/>
          <w:szCs w:val="18"/>
        </w:rPr>
      </w:pPr>
      <w:r w:rsidRPr="00A363E6">
        <w:rPr>
          <w:rStyle w:val="FootnoteReference"/>
          <w:sz w:val="18"/>
          <w:szCs w:val="18"/>
        </w:rPr>
        <w:footnoteRef/>
      </w:r>
      <w:r w:rsidRPr="00A363E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363E6">
        <w:rPr>
          <w:sz w:val="18"/>
          <w:szCs w:val="18"/>
        </w:rPr>
        <w:t>Enter relevant substances in this column; add lines for additional substances if required</w:t>
      </w:r>
      <w:r>
        <w:rPr>
          <w:sz w:val="18"/>
          <w:szCs w:val="18"/>
        </w:rPr>
        <w:t>.</w:t>
      </w:r>
    </w:p>
  </w:footnote>
  <w:footnote w:id="18">
    <w:p w14:paraId="0D205113" w14:textId="45C99D92" w:rsidR="00A95DB4" w:rsidRPr="000A7159" w:rsidRDefault="00A95DB4" w:rsidP="00DB552D">
      <w:pPr>
        <w:pStyle w:val="FootnoteText"/>
        <w:ind w:left="284" w:hanging="284"/>
        <w:rPr>
          <w:sz w:val="18"/>
          <w:szCs w:val="18"/>
        </w:rPr>
      </w:pPr>
      <w:r w:rsidRPr="000A7159">
        <w:rPr>
          <w:rStyle w:val="FootnoteReference"/>
          <w:sz w:val="18"/>
          <w:szCs w:val="18"/>
        </w:rPr>
        <w:footnoteRef/>
      </w:r>
      <w:r w:rsidRPr="000A715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A7159">
        <w:rPr>
          <w:sz w:val="18"/>
          <w:szCs w:val="18"/>
        </w:rPr>
        <w:t xml:space="preserve">Only relevant substances in the formulated product (pesticide active ingredient and relevant co-formulants) need to be included in the calculation of the </w:t>
      </w:r>
      <w:r>
        <w:rPr>
          <w:sz w:val="18"/>
          <w:szCs w:val="18"/>
        </w:rPr>
        <w:t>hazard classification</w:t>
      </w:r>
      <w:r w:rsidRPr="000A7159">
        <w:rPr>
          <w:sz w:val="18"/>
          <w:szCs w:val="18"/>
        </w:rPr>
        <w:t xml:space="preserve"> of the mixture.</w:t>
      </w:r>
    </w:p>
  </w:footnote>
  <w:footnote w:id="19">
    <w:p w14:paraId="2BD2F5EF" w14:textId="77777777" w:rsidR="00A95DB4" w:rsidRDefault="00A95DB4" w:rsidP="00DB552D">
      <w:pPr>
        <w:pStyle w:val="FootnoteText"/>
        <w:ind w:left="284" w:hanging="284"/>
      </w:pPr>
      <w:r w:rsidRPr="000A7159">
        <w:rPr>
          <w:rStyle w:val="FootnoteReference"/>
          <w:sz w:val="18"/>
          <w:szCs w:val="18"/>
        </w:rPr>
        <w:footnoteRef/>
      </w:r>
      <w:r w:rsidRPr="000A715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A7159">
        <w:rPr>
          <w:sz w:val="18"/>
          <w:szCs w:val="18"/>
          <w:lang w:val="en-US"/>
        </w:rPr>
        <w:t>Indicate which classification was retained and why this was done. If needed, contact the applicant for further explanations of their classification.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C61"/>
    <w:multiLevelType w:val="hybridMultilevel"/>
    <w:tmpl w:val="C1FA4EE0"/>
    <w:lvl w:ilvl="0" w:tplc="AEF690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425"/>
    <w:multiLevelType w:val="hybridMultilevel"/>
    <w:tmpl w:val="EE64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9FA"/>
    <w:multiLevelType w:val="hybridMultilevel"/>
    <w:tmpl w:val="42D08ABC"/>
    <w:lvl w:ilvl="0" w:tplc="8A70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41094"/>
    <w:multiLevelType w:val="hybridMultilevel"/>
    <w:tmpl w:val="C1FA4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33576">
    <w:abstractNumId w:val="0"/>
  </w:num>
  <w:num w:numId="2" w16cid:durableId="386413916">
    <w:abstractNumId w:val="1"/>
  </w:num>
  <w:num w:numId="3" w16cid:durableId="660893407">
    <w:abstractNumId w:val="3"/>
  </w:num>
  <w:num w:numId="4" w16cid:durableId="115109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C7"/>
    <w:rsid w:val="00010C17"/>
    <w:rsid w:val="000A7159"/>
    <w:rsid w:val="000C0493"/>
    <w:rsid w:val="000C3B95"/>
    <w:rsid w:val="000C4421"/>
    <w:rsid w:val="000D6A98"/>
    <w:rsid w:val="000E4A8F"/>
    <w:rsid w:val="000F5DC7"/>
    <w:rsid w:val="00136961"/>
    <w:rsid w:val="001371F6"/>
    <w:rsid w:val="00140F4A"/>
    <w:rsid w:val="00163E54"/>
    <w:rsid w:val="00180112"/>
    <w:rsid w:val="001C47CC"/>
    <w:rsid w:val="00220682"/>
    <w:rsid w:val="0022124C"/>
    <w:rsid w:val="002472BE"/>
    <w:rsid w:val="00265758"/>
    <w:rsid w:val="00271D7B"/>
    <w:rsid w:val="00284D98"/>
    <w:rsid w:val="002A21A0"/>
    <w:rsid w:val="002A5F0A"/>
    <w:rsid w:val="002E57CA"/>
    <w:rsid w:val="0030233D"/>
    <w:rsid w:val="00307733"/>
    <w:rsid w:val="00313644"/>
    <w:rsid w:val="00354DFF"/>
    <w:rsid w:val="00360D11"/>
    <w:rsid w:val="00367598"/>
    <w:rsid w:val="003B3B75"/>
    <w:rsid w:val="003B6A9D"/>
    <w:rsid w:val="003D2614"/>
    <w:rsid w:val="00426E97"/>
    <w:rsid w:val="004461C1"/>
    <w:rsid w:val="00451029"/>
    <w:rsid w:val="004611CA"/>
    <w:rsid w:val="004B511E"/>
    <w:rsid w:val="004D1635"/>
    <w:rsid w:val="004D2713"/>
    <w:rsid w:val="004D64B8"/>
    <w:rsid w:val="004E0CD0"/>
    <w:rsid w:val="004E77AC"/>
    <w:rsid w:val="00523FBA"/>
    <w:rsid w:val="005851BE"/>
    <w:rsid w:val="00591A4C"/>
    <w:rsid w:val="005C4F87"/>
    <w:rsid w:val="005D3CF8"/>
    <w:rsid w:val="005F155D"/>
    <w:rsid w:val="005F5737"/>
    <w:rsid w:val="005F6140"/>
    <w:rsid w:val="00666D6B"/>
    <w:rsid w:val="0068096C"/>
    <w:rsid w:val="0070066D"/>
    <w:rsid w:val="0072225B"/>
    <w:rsid w:val="00752C52"/>
    <w:rsid w:val="007549F9"/>
    <w:rsid w:val="00780BB1"/>
    <w:rsid w:val="00784B5E"/>
    <w:rsid w:val="0078586F"/>
    <w:rsid w:val="007A4DC2"/>
    <w:rsid w:val="007E1697"/>
    <w:rsid w:val="008006D0"/>
    <w:rsid w:val="00814E01"/>
    <w:rsid w:val="00823AF1"/>
    <w:rsid w:val="00825DA1"/>
    <w:rsid w:val="008277FA"/>
    <w:rsid w:val="0084174D"/>
    <w:rsid w:val="008422A1"/>
    <w:rsid w:val="00847F9D"/>
    <w:rsid w:val="00857798"/>
    <w:rsid w:val="00875195"/>
    <w:rsid w:val="0088258D"/>
    <w:rsid w:val="00893923"/>
    <w:rsid w:val="008971D8"/>
    <w:rsid w:val="008C0638"/>
    <w:rsid w:val="008F1505"/>
    <w:rsid w:val="00923238"/>
    <w:rsid w:val="009306E6"/>
    <w:rsid w:val="00951795"/>
    <w:rsid w:val="00974096"/>
    <w:rsid w:val="0099635B"/>
    <w:rsid w:val="009A6B59"/>
    <w:rsid w:val="009C1920"/>
    <w:rsid w:val="009D027B"/>
    <w:rsid w:val="009F3ABA"/>
    <w:rsid w:val="00A237C5"/>
    <w:rsid w:val="00A272B2"/>
    <w:rsid w:val="00A363E6"/>
    <w:rsid w:val="00A36781"/>
    <w:rsid w:val="00A554D1"/>
    <w:rsid w:val="00A555C2"/>
    <w:rsid w:val="00A5694C"/>
    <w:rsid w:val="00A65C7A"/>
    <w:rsid w:val="00A76724"/>
    <w:rsid w:val="00A84834"/>
    <w:rsid w:val="00A85EC7"/>
    <w:rsid w:val="00A929DE"/>
    <w:rsid w:val="00A95DB4"/>
    <w:rsid w:val="00AA25C1"/>
    <w:rsid w:val="00AC27ED"/>
    <w:rsid w:val="00AE4407"/>
    <w:rsid w:val="00AF4056"/>
    <w:rsid w:val="00B0068B"/>
    <w:rsid w:val="00B1067E"/>
    <w:rsid w:val="00B2035A"/>
    <w:rsid w:val="00B34D03"/>
    <w:rsid w:val="00B476AC"/>
    <w:rsid w:val="00B50A44"/>
    <w:rsid w:val="00B57AFC"/>
    <w:rsid w:val="00B92498"/>
    <w:rsid w:val="00B940D9"/>
    <w:rsid w:val="00BD7948"/>
    <w:rsid w:val="00BE72BC"/>
    <w:rsid w:val="00BF2736"/>
    <w:rsid w:val="00C435EB"/>
    <w:rsid w:val="00C54F29"/>
    <w:rsid w:val="00C63186"/>
    <w:rsid w:val="00C70E49"/>
    <w:rsid w:val="00C763CB"/>
    <w:rsid w:val="00C80009"/>
    <w:rsid w:val="00C80976"/>
    <w:rsid w:val="00CE5EC0"/>
    <w:rsid w:val="00CF7705"/>
    <w:rsid w:val="00D37B34"/>
    <w:rsid w:val="00D52682"/>
    <w:rsid w:val="00D532C7"/>
    <w:rsid w:val="00D53B84"/>
    <w:rsid w:val="00D85E6E"/>
    <w:rsid w:val="00DB552D"/>
    <w:rsid w:val="00DE416E"/>
    <w:rsid w:val="00E00AA3"/>
    <w:rsid w:val="00E16002"/>
    <w:rsid w:val="00E92804"/>
    <w:rsid w:val="00ED1964"/>
    <w:rsid w:val="00ED1B5C"/>
    <w:rsid w:val="00EE5EA7"/>
    <w:rsid w:val="00F22AF1"/>
    <w:rsid w:val="00F35660"/>
    <w:rsid w:val="00F47283"/>
    <w:rsid w:val="00F505B7"/>
    <w:rsid w:val="00F57B80"/>
    <w:rsid w:val="00F65C11"/>
    <w:rsid w:val="00F744CC"/>
    <w:rsid w:val="00FA7304"/>
    <w:rsid w:val="00FC5051"/>
    <w:rsid w:val="00FE2429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EB35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5B"/>
  </w:style>
  <w:style w:type="paragraph" w:styleId="Footer">
    <w:name w:val="footer"/>
    <w:basedOn w:val="Normal"/>
    <w:link w:val="Footer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5B"/>
  </w:style>
  <w:style w:type="paragraph" w:styleId="BalloonText">
    <w:name w:val="Balloon Text"/>
    <w:basedOn w:val="Normal"/>
    <w:link w:val="BalloonTex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65C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0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00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0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4123-4BC4-41FB-854D-847FE6B0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Vlaming, Joost (FAONL)</cp:lastModifiedBy>
  <cp:revision>9</cp:revision>
  <cp:lastPrinted>2015-10-22T13:43:00Z</cp:lastPrinted>
  <dcterms:created xsi:type="dcterms:W3CDTF">2024-06-06T12:52:00Z</dcterms:created>
  <dcterms:modified xsi:type="dcterms:W3CDTF">2024-06-12T14:34:00Z</dcterms:modified>
</cp:coreProperties>
</file>