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6F4" w:rsidRPr="00130460" w:rsidRDefault="00C926F4" w:rsidP="00C926F4">
      <w:pPr>
        <w:jc w:val="center"/>
        <w:rPr>
          <w:rFonts w:asciiTheme="minorHAnsi" w:hAnsiTheme="minorHAnsi" w:cstheme="minorHAnsi"/>
          <w:b/>
          <w:sz w:val="24"/>
          <w:szCs w:val="24"/>
        </w:rPr>
      </w:pPr>
    </w:p>
    <w:p w:rsidR="00C926F4" w:rsidRPr="00130460" w:rsidRDefault="00C926F4" w:rsidP="00C926F4">
      <w:pPr>
        <w:jc w:val="center"/>
        <w:rPr>
          <w:rFonts w:asciiTheme="minorHAnsi" w:hAnsiTheme="minorHAnsi" w:cstheme="minorHAnsi"/>
          <w:b/>
          <w:sz w:val="24"/>
          <w:szCs w:val="24"/>
        </w:rPr>
      </w:pPr>
      <w:r w:rsidRPr="00130460">
        <w:rPr>
          <w:rFonts w:asciiTheme="minorHAnsi" w:hAnsiTheme="minorHAnsi" w:cstheme="minorHAnsi"/>
          <w:b/>
          <w:sz w:val="24"/>
          <w:szCs w:val="24"/>
        </w:rPr>
        <w:t>Symposium on Sustainable Food Systems and Nutrition Governance for prevention of double burden of malnutrition in Central Asia and Caucasus- Through the eyes of children and adolescents</w:t>
      </w:r>
    </w:p>
    <w:p w:rsidR="00086195" w:rsidRPr="00130460" w:rsidRDefault="00086195" w:rsidP="00086195">
      <w:pPr>
        <w:jc w:val="center"/>
        <w:rPr>
          <w:rFonts w:asciiTheme="minorHAnsi" w:hAnsiTheme="minorHAnsi" w:cstheme="minorHAnsi"/>
          <w:b/>
          <w:sz w:val="24"/>
          <w:szCs w:val="24"/>
        </w:rPr>
      </w:pPr>
      <w:r w:rsidRPr="00130460">
        <w:rPr>
          <w:rFonts w:asciiTheme="minorHAnsi" w:hAnsiTheme="minorHAnsi" w:cstheme="minorHAnsi"/>
          <w:b/>
          <w:sz w:val="24"/>
          <w:szCs w:val="24"/>
        </w:rPr>
        <w:t xml:space="preserve">&amp; the 2nd Meeting of Regional Nutrition Capacity Development and Partnership Platform </w:t>
      </w:r>
    </w:p>
    <w:p w:rsidR="00C926F4" w:rsidRPr="00130460" w:rsidRDefault="00C926F4" w:rsidP="00C926F4">
      <w:pPr>
        <w:jc w:val="center"/>
        <w:rPr>
          <w:rFonts w:asciiTheme="minorHAnsi" w:hAnsiTheme="minorHAnsi" w:cstheme="minorHAnsi"/>
          <w:b/>
          <w:sz w:val="24"/>
          <w:szCs w:val="24"/>
        </w:rPr>
      </w:pPr>
    </w:p>
    <w:p w:rsidR="00C926F4" w:rsidRPr="00130460" w:rsidRDefault="00C926F4" w:rsidP="00C926F4">
      <w:pPr>
        <w:jc w:val="center"/>
        <w:rPr>
          <w:rFonts w:asciiTheme="minorHAnsi" w:hAnsiTheme="minorHAnsi" w:cstheme="minorHAnsi"/>
          <w:b/>
          <w:sz w:val="24"/>
          <w:szCs w:val="24"/>
        </w:rPr>
      </w:pPr>
      <w:r w:rsidRPr="00130460">
        <w:rPr>
          <w:rFonts w:asciiTheme="minorHAnsi" w:hAnsiTheme="minorHAnsi" w:cstheme="minorHAnsi"/>
          <w:b/>
          <w:sz w:val="24"/>
          <w:szCs w:val="24"/>
        </w:rPr>
        <w:t>Astana, Kazakhstan, April 24-26</w:t>
      </w:r>
      <w:r w:rsidRPr="00130460">
        <w:rPr>
          <w:rFonts w:asciiTheme="minorHAnsi" w:hAnsiTheme="minorHAnsi" w:cstheme="minorHAnsi"/>
          <w:b/>
          <w:sz w:val="24"/>
          <w:szCs w:val="24"/>
          <w:vertAlign w:val="superscript"/>
        </w:rPr>
        <w:t>th</w:t>
      </w:r>
      <w:r w:rsidRPr="00130460">
        <w:rPr>
          <w:rFonts w:asciiTheme="minorHAnsi" w:hAnsiTheme="minorHAnsi" w:cstheme="minorHAnsi"/>
          <w:b/>
          <w:sz w:val="24"/>
          <w:szCs w:val="24"/>
        </w:rPr>
        <w:t>2019</w:t>
      </w:r>
    </w:p>
    <w:p w:rsidR="00B23155" w:rsidRPr="00130460" w:rsidRDefault="00B23155" w:rsidP="00C926F4">
      <w:pPr>
        <w:jc w:val="center"/>
        <w:rPr>
          <w:rFonts w:asciiTheme="minorHAnsi" w:hAnsiTheme="minorHAnsi" w:cstheme="minorHAnsi"/>
          <w:b/>
          <w:sz w:val="24"/>
          <w:szCs w:val="24"/>
        </w:rPr>
      </w:pPr>
    </w:p>
    <w:p w:rsidR="002F731B" w:rsidRDefault="00B23155" w:rsidP="00B40BC2">
      <w:pPr>
        <w:jc w:val="center"/>
        <w:rPr>
          <w:rFonts w:asciiTheme="minorHAnsi" w:hAnsiTheme="minorHAnsi" w:cstheme="minorHAnsi"/>
          <w:b/>
          <w:sz w:val="24"/>
          <w:szCs w:val="24"/>
        </w:rPr>
      </w:pPr>
      <w:r w:rsidRPr="00130460">
        <w:rPr>
          <w:rFonts w:asciiTheme="minorHAnsi" w:hAnsiTheme="minorHAnsi" w:cstheme="minorHAnsi"/>
          <w:b/>
          <w:sz w:val="24"/>
          <w:szCs w:val="24"/>
        </w:rPr>
        <w:t>Concept Note</w:t>
      </w:r>
    </w:p>
    <w:p w:rsidR="00B40BC2" w:rsidRPr="00B40BC2" w:rsidRDefault="00B40BC2" w:rsidP="00B40BC2">
      <w:pPr>
        <w:jc w:val="center"/>
        <w:rPr>
          <w:rFonts w:asciiTheme="minorHAnsi" w:hAnsiTheme="minorHAnsi" w:cstheme="minorHAnsi"/>
          <w:b/>
          <w:sz w:val="24"/>
          <w:szCs w:val="24"/>
        </w:rPr>
      </w:pPr>
    </w:p>
    <w:p w:rsidR="002F731B" w:rsidRPr="00130460" w:rsidRDefault="002F731B" w:rsidP="002F731B">
      <w:pPr>
        <w:shd w:val="clear" w:color="auto" w:fill="D9D9D9"/>
        <w:rPr>
          <w:rFonts w:asciiTheme="minorHAnsi" w:hAnsiTheme="minorHAnsi" w:cstheme="minorHAnsi"/>
          <w:b/>
          <w:szCs w:val="22"/>
          <w:lang w:val="en-GB"/>
        </w:rPr>
      </w:pPr>
      <w:r w:rsidRPr="00130460">
        <w:rPr>
          <w:rFonts w:asciiTheme="minorHAnsi" w:hAnsiTheme="minorHAnsi" w:cstheme="minorHAnsi"/>
          <w:b/>
          <w:szCs w:val="22"/>
          <w:lang w:val="en-GB"/>
        </w:rPr>
        <w:t>Background and Justification</w:t>
      </w:r>
    </w:p>
    <w:p w:rsidR="007E7996" w:rsidRPr="00130460" w:rsidRDefault="007E7996" w:rsidP="002F731B">
      <w:pPr>
        <w:rPr>
          <w:rFonts w:asciiTheme="minorHAnsi" w:hAnsiTheme="minorHAnsi" w:cstheme="minorHAnsi"/>
          <w:szCs w:val="22"/>
          <w:lang w:val="en-GB"/>
        </w:rPr>
        <w:sectPr w:rsidR="007E7996" w:rsidRPr="00130460" w:rsidSect="005A70C1">
          <w:headerReference w:type="default" r:id="rId8"/>
          <w:footerReference w:type="default" r:id="rId9"/>
          <w:footnotePr>
            <w:numFmt w:val="lowerLetter"/>
          </w:footnotePr>
          <w:pgSz w:w="11907" w:h="16839" w:code="9"/>
          <w:pgMar w:top="1440" w:right="1440" w:bottom="1440" w:left="1440" w:header="720" w:footer="720" w:gutter="0"/>
          <w:cols w:space="720"/>
          <w:docGrid w:linePitch="360"/>
        </w:sectPr>
      </w:pPr>
    </w:p>
    <w:p w:rsidR="00B40BC2" w:rsidRPr="006B2C9C" w:rsidRDefault="00B40BC2" w:rsidP="002F731B">
      <w:pPr>
        <w:rPr>
          <w:rFonts w:asciiTheme="minorHAnsi" w:hAnsiTheme="minorHAnsi" w:cstheme="minorHAnsi"/>
          <w:sz w:val="8"/>
          <w:szCs w:val="8"/>
          <w:lang w:val="en-GB"/>
        </w:rPr>
      </w:pPr>
    </w:p>
    <w:p w:rsidR="002F731B" w:rsidRPr="00EB2605" w:rsidRDefault="002F731B" w:rsidP="002F731B">
      <w:pPr>
        <w:rPr>
          <w:rFonts w:asciiTheme="minorHAnsi" w:hAnsiTheme="minorHAnsi" w:cstheme="minorHAnsi"/>
          <w:sz w:val="23"/>
          <w:szCs w:val="23"/>
          <w:lang w:val="en-GB"/>
        </w:rPr>
      </w:pPr>
      <w:r w:rsidRPr="00EB2605">
        <w:rPr>
          <w:rFonts w:asciiTheme="minorHAnsi" w:hAnsiTheme="minorHAnsi" w:cstheme="minorHAnsi"/>
          <w:sz w:val="23"/>
          <w:szCs w:val="23"/>
          <w:lang w:val="en-GB"/>
        </w:rPr>
        <w:t xml:space="preserve">In November 2014, at the Second International Conference on Nutrition (ICN2), Member States </w:t>
      </w:r>
      <w:r w:rsidR="000D289C" w:rsidRPr="00EB2605">
        <w:rPr>
          <w:rFonts w:asciiTheme="minorHAnsi" w:hAnsiTheme="minorHAnsi" w:cstheme="minorHAnsi"/>
          <w:sz w:val="23"/>
          <w:szCs w:val="23"/>
          <w:lang w:val="en-GB"/>
        </w:rPr>
        <w:t>adopted Rome Declaration on Nutrition</w:t>
      </w:r>
      <w:r w:rsidR="00931B7F" w:rsidRPr="00EB2605">
        <w:rPr>
          <w:rStyle w:val="FootnoteReference"/>
          <w:rFonts w:asciiTheme="minorHAnsi" w:hAnsiTheme="minorHAnsi" w:cstheme="minorHAnsi"/>
          <w:sz w:val="23"/>
          <w:szCs w:val="23"/>
          <w:lang w:val="en-GB"/>
        </w:rPr>
        <w:footnoteReference w:id="1"/>
      </w:r>
      <w:r w:rsidR="000D289C" w:rsidRPr="00EB2605">
        <w:rPr>
          <w:rFonts w:asciiTheme="minorHAnsi" w:hAnsiTheme="minorHAnsi" w:cstheme="minorHAnsi"/>
          <w:sz w:val="23"/>
          <w:szCs w:val="23"/>
          <w:lang w:val="en-GB"/>
        </w:rPr>
        <w:t xml:space="preserve"> and its Framework of Action (ICN2 FfA)</w:t>
      </w:r>
      <w:r w:rsidR="00931B7F" w:rsidRPr="00EB2605">
        <w:rPr>
          <w:rStyle w:val="FootnoteReference"/>
          <w:rFonts w:asciiTheme="minorHAnsi" w:hAnsiTheme="minorHAnsi" w:cstheme="minorHAnsi"/>
          <w:sz w:val="23"/>
          <w:szCs w:val="23"/>
          <w:lang w:val="en-GB"/>
        </w:rPr>
        <w:footnoteReference w:id="2"/>
      </w:r>
      <w:r w:rsidR="000D289C" w:rsidRPr="00EB2605">
        <w:rPr>
          <w:rFonts w:asciiTheme="minorHAnsi" w:hAnsiTheme="minorHAnsi" w:cstheme="minorHAnsi"/>
          <w:sz w:val="23"/>
          <w:szCs w:val="23"/>
          <w:lang w:val="en-GB"/>
        </w:rPr>
        <w:t xml:space="preserve"> and </w:t>
      </w:r>
      <w:r w:rsidRPr="00EB2605">
        <w:rPr>
          <w:rFonts w:asciiTheme="minorHAnsi" w:hAnsiTheme="minorHAnsi" w:cstheme="minorHAnsi"/>
          <w:sz w:val="23"/>
          <w:szCs w:val="23"/>
          <w:lang w:val="en-GB"/>
        </w:rPr>
        <w:t>committed to eliminate malnutrition in all its forms and articulated a common vision for global action.</w:t>
      </w:r>
    </w:p>
    <w:p w:rsidR="00EB2605" w:rsidRPr="00EB2605" w:rsidRDefault="00EB2605" w:rsidP="002F731B">
      <w:pPr>
        <w:rPr>
          <w:rFonts w:asciiTheme="minorHAnsi" w:hAnsiTheme="minorHAnsi" w:cstheme="minorHAnsi"/>
          <w:sz w:val="23"/>
          <w:szCs w:val="23"/>
          <w:lang w:val="en-GB"/>
        </w:rPr>
      </w:pPr>
    </w:p>
    <w:p w:rsidR="002F731B" w:rsidRPr="00EB2605" w:rsidRDefault="002F731B" w:rsidP="002F731B">
      <w:pPr>
        <w:rPr>
          <w:rFonts w:asciiTheme="minorHAnsi" w:hAnsiTheme="minorHAnsi" w:cstheme="minorHAnsi"/>
          <w:sz w:val="23"/>
          <w:szCs w:val="23"/>
          <w:lang w:val="en-GB"/>
        </w:rPr>
      </w:pPr>
      <w:r w:rsidRPr="00EB2605">
        <w:rPr>
          <w:rFonts w:asciiTheme="minorHAnsi" w:hAnsiTheme="minorHAnsi" w:cstheme="minorHAnsi"/>
          <w:sz w:val="23"/>
          <w:szCs w:val="23"/>
          <w:lang w:val="en-GB"/>
        </w:rPr>
        <w:t xml:space="preserve">In September 2015, Member States </w:t>
      </w:r>
      <w:r w:rsidR="000D289C" w:rsidRPr="00EB2605">
        <w:rPr>
          <w:rFonts w:asciiTheme="minorHAnsi" w:hAnsiTheme="minorHAnsi" w:cstheme="minorHAnsi"/>
          <w:sz w:val="23"/>
          <w:szCs w:val="23"/>
          <w:lang w:val="en-GB"/>
        </w:rPr>
        <w:t xml:space="preserve">adopted the 2030 Agenda for Sustainable Development and </w:t>
      </w:r>
      <w:r w:rsidRPr="00EB2605">
        <w:rPr>
          <w:rFonts w:asciiTheme="minorHAnsi" w:hAnsiTheme="minorHAnsi" w:cstheme="minorHAnsi"/>
          <w:sz w:val="23"/>
          <w:szCs w:val="23"/>
          <w:lang w:val="en-GB"/>
        </w:rPr>
        <w:t>placed high priority on addressing malnutrition by committing, under Sustainable Development Goal (SDG) 2 to “End hunger, achieve food security and improved nutrition and promote sustainable agriculture”</w:t>
      </w:r>
      <w:r w:rsidR="00931B7F" w:rsidRPr="00EB2605">
        <w:rPr>
          <w:rStyle w:val="FootnoteReference"/>
          <w:rFonts w:asciiTheme="minorHAnsi" w:hAnsiTheme="minorHAnsi" w:cstheme="minorHAnsi"/>
          <w:sz w:val="23"/>
          <w:szCs w:val="23"/>
          <w:lang w:val="en-GB"/>
        </w:rPr>
        <w:footnoteReference w:id="3"/>
      </w:r>
      <w:r w:rsidRPr="00EB2605">
        <w:rPr>
          <w:rFonts w:asciiTheme="minorHAnsi" w:hAnsiTheme="minorHAnsi" w:cstheme="minorHAnsi"/>
          <w:sz w:val="23"/>
          <w:szCs w:val="23"/>
          <w:lang w:val="en-GB"/>
        </w:rPr>
        <w:t>and under SDG 3 to improve health and reduce NCD burden.</w:t>
      </w:r>
    </w:p>
    <w:p w:rsidR="00EB2605" w:rsidRPr="00EB2605" w:rsidRDefault="00EB2605" w:rsidP="002F731B">
      <w:pPr>
        <w:pStyle w:val="CommentText"/>
        <w:rPr>
          <w:rFonts w:asciiTheme="minorHAnsi" w:hAnsiTheme="minorHAnsi" w:cstheme="minorHAnsi"/>
          <w:sz w:val="23"/>
          <w:szCs w:val="23"/>
          <w:lang w:val="en-GB"/>
        </w:rPr>
      </w:pPr>
    </w:p>
    <w:p w:rsidR="002F731B" w:rsidRPr="00EB2605" w:rsidRDefault="002F731B" w:rsidP="002F731B">
      <w:pPr>
        <w:pStyle w:val="CommentText"/>
        <w:rPr>
          <w:rFonts w:asciiTheme="minorHAnsi" w:hAnsiTheme="minorHAnsi" w:cstheme="minorHAnsi"/>
          <w:sz w:val="23"/>
          <w:szCs w:val="23"/>
        </w:rPr>
      </w:pPr>
      <w:r w:rsidRPr="00EB2605">
        <w:rPr>
          <w:rFonts w:asciiTheme="minorHAnsi" w:hAnsiTheme="minorHAnsi" w:cstheme="minorHAnsi"/>
          <w:sz w:val="23"/>
          <w:szCs w:val="23"/>
          <w:lang w:val="en-GB"/>
        </w:rPr>
        <w:t>In April 2016, the UN General Assembly, through its Resolution 70/259</w:t>
      </w:r>
      <w:r w:rsidR="00931B7F" w:rsidRPr="00EB2605">
        <w:rPr>
          <w:rStyle w:val="FootnoteReference"/>
          <w:rFonts w:asciiTheme="minorHAnsi" w:hAnsiTheme="minorHAnsi" w:cstheme="minorHAnsi"/>
          <w:sz w:val="23"/>
          <w:szCs w:val="23"/>
          <w:lang w:val="en-GB"/>
        </w:rPr>
        <w:footnoteReference w:id="4"/>
      </w:r>
      <w:r w:rsidRPr="00EB2605">
        <w:rPr>
          <w:rFonts w:asciiTheme="minorHAnsi" w:hAnsiTheme="minorHAnsi" w:cstheme="minorHAnsi"/>
          <w:sz w:val="23"/>
          <w:szCs w:val="23"/>
          <w:lang w:val="en-GB"/>
        </w:rPr>
        <w:t xml:space="preserve">, </w:t>
      </w:r>
      <w:r w:rsidRPr="00EB2605">
        <w:rPr>
          <w:rFonts w:asciiTheme="minorHAnsi" w:hAnsiTheme="minorHAnsi" w:cstheme="minorHAnsi"/>
          <w:sz w:val="23"/>
          <w:szCs w:val="23"/>
        </w:rPr>
        <w:t xml:space="preserve">reinforced the ICN2 </w:t>
      </w:r>
      <w:r w:rsidRPr="00EB2605">
        <w:rPr>
          <w:rFonts w:asciiTheme="minorHAnsi" w:hAnsiTheme="minorHAnsi" w:cstheme="minorHAnsi"/>
          <w:sz w:val="23"/>
          <w:szCs w:val="23"/>
          <w:lang w:val="en-GB"/>
        </w:rPr>
        <w:t>call for action by endorsing the ICN2 outcomes and proclaiming 2016 to 2025 the United Nations Decade of Action on Nutrition</w:t>
      </w:r>
      <w:r w:rsidR="00931B7F" w:rsidRPr="00EB2605">
        <w:rPr>
          <w:rStyle w:val="FootnoteReference"/>
          <w:rFonts w:asciiTheme="minorHAnsi" w:hAnsiTheme="minorHAnsi" w:cstheme="minorHAnsi"/>
          <w:sz w:val="23"/>
          <w:szCs w:val="23"/>
          <w:lang w:val="en-GB"/>
        </w:rPr>
        <w:footnoteReference w:id="5"/>
      </w:r>
      <w:r w:rsidRPr="00EB2605">
        <w:rPr>
          <w:rFonts w:asciiTheme="minorHAnsi" w:hAnsiTheme="minorHAnsi" w:cstheme="minorHAnsi"/>
          <w:sz w:val="23"/>
          <w:szCs w:val="23"/>
          <w:lang w:val="en-GB"/>
        </w:rPr>
        <w:t xml:space="preserve">, providing a unique opportunity for governments, academia, </w:t>
      </w:r>
      <w:r w:rsidR="00B23155" w:rsidRPr="00EB2605">
        <w:rPr>
          <w:rFonts w:asciiTheme="minorHAnsi" w:hAnsiTheme="minorHAnsi" w:cstheme="minorHAnsi"/>
          <w:sz w:val="23"/>
          <w:szCs w:val="23"/>
          <w:lang w:val="en-GB"/>
        </w:rPr>
        <w:t>civil</w:t>
      </w:r>
      <w:r w:rsidRPr="00EB2605">
        <w:rPr>
          <w:rFonts w:asciiTheme="minorHAnsi" w:hAnsiTheme="minorHAnsi" w:cstheme="minorHAnsi"/>
          <w:sz w:val="23"/>
          <w:szCs w:val="23"/>
          <w:lang w:val="en-GB"/>
        </w:rPr>
        <w:t xml:space="preserve"> society and other stakeholders to work together for the coming ten years toward eradication and prevention of all forms of malnutrition in their countries.</w:t>
      </w:r>
    </w:p>
    <w:p w:rsidR="002F731B" w:rsidRPr="00EB2605" w:rsidRDefault="002F731B" w:rsidP="002F731B">
      <w:pPr>
        <w:pStyle w:val="CommentText"/>
        <w:rPr>
          <w:rFonts w:asciiTheme="minorHAnsi" w:hAnsiTheme="minorHAnsi" w:cstheme="minorHAnsi"/>
          <w:sz w:val="23"/>
          <w:szCs w:val="23"/>
        </w:rPr>
      </w:pPr>
    </w:p>
    <w:p w:rsidR="002F731B" w:rsidRPr="00EB2605" w:rsidRDefault="002F731B" w:rsidP="002F731B">
      <w:pPr>
        <w:pStyle w:val="CommentText"/>
        <w:rPr>
          <w:rFonts w:asciiTheme="minorHAnsi" w:hAnsiTheme="minorHAnsi" w:cstheme="minorHAnsi"/>
          <w:sz w:val="23"/>
          <w:szCs w:val="23"/>
        </w:rPr>
      </w:pPr>
      <w:r w:rsidRPr="00EB2605">
        <w:rPr>
          <w:rFonts w:asciiTheme="minorHAnsi" w:hAnsiTheme="minorHAnsi" w:cstheme="minorHAnsi"/>
          <w:sz w:val="23"/>
          <w:szCs w:val="23"/>
        </w:rPr>
        <w:t xml:space="preserve">In 2017, the </w:t>
      </w:r>
      <w:r w:rsidR="00D1760B" w:rsidRPr="00EB2605">
        <w:rPr>
          <w:rFonts w:asciiTheme="minorHAnsi" w:hAnsiTheme="minorHAnsi" w:cstheme="minorHAnsi"/>
          <w:sz w:val="23"/>
          <w:szCs w:val="23"/>
        </w:rPr>
        <w:t>Regional Symposium on Sustainable Food Systems for Healthy Diets in Europe and Central Asia</w:t>
      </w:r>
      <w:r w:rsidRPr="00EB2605">
        <w:rPr>
          <w:rFonts w:asciiTheme="minorHAnsi" w:hAnsiTheme="minorHAnsi" w:cstheme="minorHAnsi"/>
          <w:sz w:val="23"/>
          <w:szCs w:val="23"/>
        </w:rPr>
        <w:t>in Budapest</w:t>
      </w:r>
      <w:r w:rsidR="00931B7F" w:rsidRPr="00EB2605">
        <w:rPr>
          <w:rStyle w:val="FootnoteReference"/>
          <w:rFonts w:asciiTheme="minorHAnsi" w:hAnsiTheme="minorHAnsi" w:cstheme="minorHAnsi"/>
          <w:sz w:val="23"/>
          <w:szCs w:val="23"/>
        </w:rPr>
        <w:footnoteReference w:id="6"/>
      </w:r>
      <w:r w:rsidRPr="00EB2605">
        <w:rPr>
          <w:rFonts w:asciiTheme="minorHAnsi" w:hAnsiTheme="minorHAnsi" w:cstheme="minorHAnsi"/>
          <w:sz w:val="23"/>
          <w:szCs w:val="23"/>
        </w:rPr>
        <w:t xml:space="preserve"> recommended the Central Asia and Caucasus to develop a regional mechanism to enhance the capacity of key actors engaged in nutrition</w:t>
      </w:r>
      <w:r w:rsidR="00D1760B" w:rsidRPr="00EB2605">
        <w:rPr>
          <w:rFonts w:asciiTheme="minorHAnsi" w:hAnsiTheme="minorHAnsi" w:cstheme="minorHAnsi"/>
          <w:sz w:val="23"/>
          <w:szCs w:val="23"/>
        </w:rPr>
        <w:t>. (Key messages from the  Regional Symposium on Sustainable Food Systems for Healthy Diets in Europe and Central Asia held on 4-5 December 2017 in Budapes</w:t>
      </w:r>
      <w:r w:rsidR="00086195" w:rsidRPr="00EB2605">
        <w:rPr>
          <w:rFonts w:asciiTheme="minorHAnsi" w:hAnsiTheme="minorHAnsi" w:cstheme="minorHAnsi"/>
          <w:sz w:val="23"/>
          <w:szCs w:val="23"/>
        </w:rPr>
        <w:t>t.</w:t>
      </w:r>
    </w:p>
    <w:p w:rsidR="002F731B" w:rsidRPr="00EB2605" w:rsidRDefault="002F731B" w:rsidP="002F731B">
      <w:pPr>
        <w:pStyle w:val="CommentText"/>
        <w:rPr>
          <w:rFonts w:asciiTheme="minorHAnsi" w:hAnsiTheme="minorHAnsi" w:cstheme="minorHAnsi"/>
          <w:sz w:val="23"/>
          <w:szCs w:val="23"/>
        </w:rPr>
      </w:pPr>
    </w:p>
    <w:p w:rsidR="007E7996" w:rsidRPr="00EB2605" w:rsidRDefault="002F731B" w:rsidP="00130460">
      <w:pPr>
        <w:pStyle w:val="CommentText"/>
        <w:rPr>
          <w:rFonts w:asciiTheme="minorHAnsi" w:hAnsiTheme="minorHAnsi" w:cstheme="minorHAnsi"/>
          <w:sz w:val="23"/>
          <w:szCs w:val="23"/>
        </w:rPr>
        <w:sectPr w:rsidR="007E7996" w:rsidRPr="00EB2605" w:rsidSect="005A70C1">
          <w:type w:val="continuous"/>
          <w:pgSz w:w="11907" w:h="16839" w:code="9"/>
          <w:pgMar w:top="1440" w:right="1440" w:bottom="1440" w:left="1440" w:header="720" w:footer="720" w:gutter="0"/>
          <w:cols w:space="720"/>
          <w:docGrid w:linePitch="360"/>
        </w:sectPr>
      </w:pPr>
      <w:r w:rsidRPr="00EB2605">
        <w:rPr>
          <w:rFonts w:asciiTheme="minorHAnsi" w:hAnsiTheme="minorHAnsi" w:cstheme="minorHAnsi"/>
          <w:sz w:val="23"/>
          <w:szCs w:val="23"/>
        </w:rPr>
        <w:t>In July 2018, an ECOSOC resolution called the UN Task Force and its members to strengthen its capacity to provide technical and policy advice to Governments in order to implement Multisectoral strategies and enhance multi-stakeholder action</w:t>
      </w:r>
      <w:r w:rsidR="00931B7F" w:rsidRPr="00EB2605">
        <w:rPr>
          <w:rStyle w:val="FootnoteReference"/>
          <w:rFonts w:asciiTheme="minorHAnsi" w:hAnsiTheme="minorHAnsi" w:cstheme="minorHAnsi"/>
          <w:sz w:val="23"/>
          <w:szCs w:val="23"/>
        </w:rPr>
        <w:footnoteReference w:id="7"/>
      </w:r>
      <w:r w:rsidR="00130460" w:rsidRPr="00EB2605">
        <w:rPr>
          <w:rFonts w:asciiTheme="minorHAnsi" w:hAnsiTheme="minorHAnsi" w:cstheme="minorHAnsi"/>
          <w:sz w:val="23"/>
          <w:szCs w:val="23"/>
        </w:rPr>
        <w:t>.</w:t>
      </w:r>
    </w:p>
    <w:p w:rsidR="002F731B" w:rsidRPr="00EB2605" w:rsidRDefault="002F731B" w:rsidP="00130460">
      <w:pPr>
        <w:rPr>
          <w:rFonts w:asciiTheme="minorHAnsi" w:hAnsiTheme="minorHAnsi" w:cstheme="minorHAnsi"/>
          <w:sz w:val="23"/>
          <w:szCs w:val="23"/>
        </w:rPr>
      </w:pPr>
      <w:r w:rsidRPr="00EB2605">
        <w:rPr>
          <w:rFonts w:asciiTheme="minorHAnsi" w:hAnsiTheme="minorHAnsi" w:cstheme="minorHAnsi"/>
          <w:sz w:val="23"/>
          <w:szCs w:val="23"/>
        </w:rPr>
        <w:t xml:space="preserve">On July 20-21, 2018, multi-sectoral delegations from Armenia, Azerbaijan, Georgia, Kazakhstan, Kyrgyzstan, Tajikistan Turkmenistan and Uzbekistan and relevant academicians and development partners (UNICEF, WHO, FAO and WFP) participated in a two-day consultative </w:t>
      </w:r>
      <w:r w:rsidRPr="00EB2605">
        <w:rPr>
          <w:rFonts w:asciiTheme="minorHAnsi" w:hAnsiTheme="minorHAnsi" w:cstheme="minorHAnsi"/>
          <w:sz w:val="23"/>
          <w:szCs w:val="23"/>
        </w:rPr>
        <w:lastRenderedPageBreak/>
        <w:t>meeting where they discussed the existing gaps in nutrition governance in the region and ultimately the Regional Nutrition Capacity Development and Partnership Platform and its secret</w:t>
      </w:r>
      <w:r w:rsidR="00770D27" w:rsidRPr="00EB2605">
        <w:rPr>
          <w:rFonts w:asciiTheme="minorHAnsi" w:hAnsiTheme="minorHAnsi" w:cstheme="minorHAnsi"/>
          <w:sz w:val="23"/>
          <w:szCs w:val="23"/>
        </w:rPr>
        <w:t>a</w:t>
      </w:r>
      <w:r w:rsidRPr="00EB2605">
        <w:rPr>
          <w:rFonts w:asciiTheme="minorHAnsi" w:hAnsiTheme="minorHAnsi" w:cstheme="minorHAnsi"/>
          <w:sz w:val="23"/>
          <w:szCs w:val="23"/>
        </w:rPr>
        <w:t xml:space="preserve">riate was launched in July 2018.  </w:t>
      </w:r>
      <w:r w:rsidR="00D81D96" w:rsidRPr="00EB2605">
        <w:rPr>
          <w:rFonts w:asciiTheme="minorHAnsi" w:hAnsiTheme="minorHAnsi" w:cstheme="minorHAnsi"/>
          <w:sz w:val="23"/>
          <w:szCs w:val="23"/>
        </w:rPr>
        <w:t xml:space="preserve">The </w:t>
      </w:r>
      <w:r w:rsidR="00022570" w:rsidRPr="00EB2605">
        <w:rPr>
          <w:rFonts w:asciiTheme="minorHAnsi" w:hAnsiTheme="minorHAnsi" w:cstheme="minorHAnsi"/>
          <w:sz w:val="23"/>
          <w:szCs w:val="23"/>
        </w:rPr>
        <w:t>N</w:t>
      </w:r>
      <w:r w:rsidR="00D81D96" w:rsidRPr="00EB2605">
        <w:rPr>
          <w:rFonts w:asciiTheme="minorHAnsi" w:hAnsiTheme="minorHAnsi" w:cstheme="minorHAnsi"/>
          <w:sz w:val="23"/>
          <w:szCs w:val="23"/>
        </w:rPr>
        <w:t xml:space="preserve">ational Public Health Center of </w:t>
      </w:r>
      <w:r w:rsidR="00022570" w:rsidRPr="00EB2605">
        <w:rPr>
          <w:rFonts w:asciiTheme="minorHAnsi" w:hAnsiTheme="minorHAnsi" w:cstheme="minorHAnsi"/>
          <w:sz w:val="23"/>
          <w:szCs w:val="23"/>
        </w:rPr>
        <w:t xml:space="preserve">Republic of </w:t>
      </w:r>
      <w:r w:rsidR="00D81D96" w:rsidRPr="00EB2605">
        <w:rPr>
          <w:rFonts w:asciiTheme="minorHAnsi" w:hAnsiTheme="minorHAnsi" w:cstheme="minorHAnsi"/>
          <w:sz w:val="23"/>
          <w:szCs w:val="23"/>
        </w:rPr>
        <w:t xml:space="preserve">Kazakhstan </w:t>
      </w:r>
      <w:r w:rsidR="00022570" w:rsidRPr="00EB2605">
        <w:rPr>
          <w:rFonts w:asciiTheme="minorHAnsi" w:hAnsiTheme="minorHAnsi" w:cstheme="minorHAnsi"/>
          <w:sz w:val="23"/>
          <w:szCs w:val="23"/>
        </w:rPr>
        <w:t>has</w:t>
      </w:r>
      <w:r w:rsidR="00D81D96" w:rsidRPr="00EB2605">
        <w:rPr>
          <w:rFonts w:asciiTheme="minorHAnsi" w:hAnsiTheme="minorHAnsi" w:cstheme="minorHAnsi"/>
          <w:sz w:val="23"/>
          <w:szCs w:val="23"/>
        </w:rPr>
        <w:t xml:space="preserve"> been assigned to chair the regional secret</w:t>
      </w:r>
      <w:r w:rsidR="00770D27" w:rsidRPr="00EB2605">
        <w:rPr>
          <w:rFonts w:asciiTheme="minorHAnsi" w:hAnsiTheme="minorHAnsi" w:cstheme="minorHAnsi"/>
          <w:sz w:val="23"/>
          <w:szCs w:val="23"/>
        </w:rPr>
        <w:t>a</w:t>
      </w:r>
      <w:r w:rsidR="00D81D96" w:rsidRPr="00EB2605">
        <w:rPr>
          <w:rFonts w:asciiTheme="minorHAnsi" w:hAnsiTheme="minorHAnsi" w:cstheme="minorHAnsi"/>
          <w:sz w:val="23"/>
          <w:szCs w:val="23"/>
        </w:rPr>
        <w:t>riate for the period of two years.</w:t>
      </w:r>
      <w:r w:rsidR="00022570" w:rsidRPr="00EB2605">
        <w:rPr>
          <w:rFonts w:asciiTheme="minorHAnsi" w:hAnsiTheme="minorHAnsi" w:cstheme="minorHAnsi"/>
          <w:sz w:val="23"/>
          <w:szCs w:val="23"/>
        </w:rPr>
        <w:t xml:space="preserve"> A M</w:t>
      </w:r>
      <w:r w:rsidR="00770D27" w:rsidRPr="00EB2605">
        <w:rPr>
          <w:rFonts w:asciiTheme="minorHAnsi" w:hAnsiTheme="minorHAnsi" w:cstheme="minorHAnsi"/>
          <w:sz w:val="23"/>
          <w:szCs w:val="23"/>
        </w:rPr>
        <w:t>e</w:t>
      </w:r>
      <w:r w:rsidR="00022570" w:rsidRPr="00EB2605">
        <w:rPr>
          <w:rFonts w:asciiTheme="minorHAnsi" w:hAnsiTheme="minorHAnsi" w:cstheme="minorHAnsi"/>
          <w:sz w:val="23"/>
          <w:szCs w:val="23"/>
        </w:rPr>
        <w:t>morandom of Understaning has been signed with the Public Health Center of Replublic of Kazakhstan which clarifi</w:t>
      </w:r>
      <w:r w:rsidR="008352B2" w:rsidRPr="00EB2605">
        <w:rPr>
          <w:rFonts w:asciiTheme="minorHAnsi" w:hAnsiTheme="minorHAnsi" w:cstheme="minorHAnsi"/>
          <w:sz w:val="23"/>
          <w:szCs w:val="23"/>
        </w:rPr>
        <w:t>e</w:t>
      </w:r>
      <w:r w:rsidR="00022570" w:rsidRPr="00EB2605">
        <w:rPr>
          <w:rFonts w:asciiTheme="minorHAnsi" w:hAnsiTheme="minorHAnsi" w:cstheme="minorHAnsi"/>
          <w:sz w:val="23"/>
          <w:szCs w:val="23"/>
        </w:rPr>
        <w:t>s their role as the chair of the regional secret</w:t>
      </w:r>
      <w:r w:rsidR="008352B2" w:rsidRPr="00EB2605">
        <w:rPr>
          <w:rFonts w:asciiTheme="minorHAnsi" w:hAnsiTheme="minorHAnsi" w:cstheme="minorHAnsi"/>
          <w:sz w:val="23"/>
          <w:szCs w:val="23"/>
        </w:rPr>
        <w:t>a</w:t>
      </w:r>
      <w:r w:rsidR="00022570" w:rsidRPr="00EB2605">
        <w:rPr>
          <w:rFonts w:asciiTheme="minorHAnsi" w:hAnsiTheme="minorHAnsi" w:cstheme="minorHAnsi"/>
          <w:sz w:val="23"/>
          <w:szCs w:val="23"/>
        </w:rPr>
        <w:t>riate.</w:t>
      </w:r>
    </w:p>
    <w:p w:rsidR="002F731B" w:rsidRPr="00EB2605" w:rsidRDefault="002F731B" w:rsidP="002F731B">
      <w:pPr>
        <w:rPr>
          <w:rFonts w:asciiTheme="minorHAnsi" w:hAnsiTheme="minorHAnsi" w:cstheme="minorHAnsi"/>
          <w:sz w:val="23"/>
          <w:szCs w:val="23"/>
          <w:lang w:val="en-GB"/>
        </w:rPr>
      </w:pPr>
    </w:p>
    <w:p w:rsidR="002F731B" w:rsidRPr="00EB2605" w:rsidRDefault="002F731B" w:rsidP="002F731B">
      <w:pPr>
        <w:jc w:val="both"/>
        <w:rPr>
          <w:rFonts w:asciiTheme="minorHAnsi" w:hAnsiTheme="minorHAnsi" w:cstheme="minorHAnsi"/>
          <w:sz w:val="23"/>
          <w:szCs w:val="23"/>
          <w:lang w:val="en-US"/>
        </w:rPr>
      </w:pPr>
      <w:r w:rsidRPr="00EB2605">
        <w:rPr>
          <w:rFonts w:asciiTheme="minorHAnsi" w:hAnsiTheme="minorHAnsi" w:cstheme="minorHAnsi"/>
          <w:sz w:val="23"/>
          <w:szCs w:val="23"/>
        </w:rPr>
        <w:t xml:space="preserve">This platform is a </w:t>
      </w:r>
      <w:r w:rsidRPr="00EB2605">
        <w:rPr>
          <w:rFonts w:asciiTheme="minorHAnsi" w:hAnsiTheme="minorHAnsi" w:cstheme="minorHAnsi"/>
          <w:sz w:val="23"/>
          <w:szCs w:val="23"/>
          <w:lang w:val="en-US"/>
        </w:rPr>
        <w:t>systematic, cross-border partnership oriented mechanisms to develop the capacity o</w:t>
      </w:r>
      <w:r w:rsidR="00B23155" w:rsidRPr="00EB2605">
        <w:rPr>
          <w:rFonts w:asciiTheme="minorHAnsi" w:hAnsiTheme="minorHAnsi" w:cstheme="minorHAnsi"/>
          <w:sz w:val="23"/>
          <w:szCs w:val="23"/>
          <w:lang w:val="en-US"/>
        </w:rPr>
        <w:t xml:space="preserve">f </w:t>
      </w:r>
      <w:r w:rsidRPr="00EB2605">
        <w:rPr>
          <w:rFonts w:asciiTheme="minorHAnsi" w:hAnsiTheme="minorHAnsi" w:cstheme="minorHAnsi"/>
          <w:sz w:val="23"/>
          <w:szCs w:val="23"/>
          <w:lang w:val="en-US"/>
        </w:rPr>
        <w:t xml:space="preserve">8 </w:t>
      </w:r>
      <w:r w:rsidR="00457098" w:rsidRPr="00EB2605">
        <w:rPr>
          <w:rFonts w:asciiTheme="minorHAnsi" w:hAnsiTheme="minorHAnsi" w:cstheme="minorHAnsi"/>
          <w:sz w:val="23"/>
          <w:szCs w:val="23"/>
          <w:lang w:val="en-US"/>
        </w:rPr>
        <w:t>countries in Central Asia and Caucasus</w:t>
      </w:r>
      <w:r w:rsidRPr="00EB2605">
        <w:rPr>
          <w:rFonts w:asciiTheme="minorHAnsi" w:hAnsiTheme="minorHAnsi" w:cstheme="minorHAnsi"/>
          <w:sz w:val="23"/>
          <w:szCs w:val="23"/>
          <w:lang w:val="en-US"/>
        </w:rPr>
        <w:t xml:space="preserve"> to tackle the double burden of malnutrition in the sub-region. The main aims of the platform </w:t>
      </w:r>
      <w:r w:rsidR="00457098" w:rsidRPr="00EB2605">
        <w:rPr>
          <w:rFonts w:asciiTheme="minorHAnsi" w:hAnsiTheme="minorHAnsi" w:cstheme="minorHAnsi"/>
          <w:sz w:val="23"/>
          <w:szCs w:val="23"/>
          <w:lang w:val="en-US"/>
        </w:rPr>
        <w:t>are as it follows</w:t>
      </w:r>
      <w:r w:rsidRPr="00EB2605">
        <w:rPr>
          <w:rFonts w:asciiTheme="minorHAnsi" w:hAnsiTheme="minorHAnsi" w:cstheme="minorHAnsi"/>
          <w:sz w:val="23"/>
          <w:szCs w:val="23"/>
          <w:lang w:val="en-US"/>
        </w:rPr>
        <w:t>:</w:t>
      </w:r>
    </w:p>
    <w:p w:rsidR="002F731B" w:rsidRPr="00EB2605" w:rsidRDefault="002F731B" w:rsidP="002F731B">
      <w:pPr>
        <w:jc w:val="both"/>
        <w:rPr>
          <w:rFonts w:asciiTheme="minorHAnsi" w:hAnsiTheme="minorHAnsi" w:cstheme="minorHAnsi"/>
          <w:sz w:val="23"/>
          <w:szCs w:val="23"/>
        </w:rPr>
      </w:pPr>
    </w:p>
    <w:p w:rsidR="00887D13" w:rsidRPr="00EB2605" w:rsidRDefault="00887D13" w:rsidP="002F731B">
      <w:pPr>
        <w:numPr>
          <w:ilvl w:val="0"/>
          <w:numId w:val="4"/>
        </w:numPr>
        <w:jc w:val="both"/>
        <w:rPr>
          <w:rFonts w:asciiTheme="minorHAnsi" w:hAnsiTheme="minorHAnsi" w:cstheme="minorHAnsi"/>
          <w:sz w:val="23"/>
          <w:szCs w:val="23"/>
          <w:lang w:val="en-US"/>
        </w:rPr>
      </w:pPr>
      <w:r w:rsidRPr="00EB2605">
        <w:rPr>
          <w:rFonts w:asciiTheme="minorHAnsi" w:hAnsiTheme="minorHAnsi" w:cstheme="minorHAnsi"/>
          <w:sz w:val="23"/>
          <w:szCs w:val="23"/>
          <w:lang w:val="en-GB"/>
        </w:rPr>
        <w:t>Build</w:t>
      </w:r>
      <w:r w:rsidR="002F731B" w:rsidRPr="00EB2605">
        <w:rPr>
          <w:rFonts w:asciiTheme="minorHAnsi" w:hAnsiTheme="minorHAnsi" w:cstheme="minorHAnsi"/>
          <w:sz w:val="23"/>
          <w:szCs w:val="23"/>
          <w:lang w:val="en-GB"/>
        </w:rPr>
        <w:t>ing</w:t>
      </w:r>
      <w:r w:rsidRPr="00EB2605">
        <w:rPr>
          <w:rFonts w:asciiTheme="minorHAnsi" w:hAnsiTheme="minorHAnsi" w:cstheme="minorHAnsi"/>
          <w:sz w:val="23"/>
          <w:szCs w:val="23"/>
          <w:lang w:val="en-GB"/>
        </w:rPr>
        <w:t xml:space="preserve"> the </w:t>
      </w:r>
      <w:r w:rsidRPr="00EB2605">
        <w:rPr>
          <w:rFonts w:asciiTheme="minorHAnsi" w:hAnsiTheme="minorHAnsi" w:cstheme="minorHAnsi"/>
          <w:b/>
          <w:bCs/>
          <w:sz w:val="23"/>
          <w:szCs w:val="23"/>
          <w:lang w:val="en-GB"/>
        </w:rPr>
        <w:t xml:space="preserve">leadership and governance capacity in nutrition </w:t>
      </w:r>
      <w:r w:rsidR="002F731B" w:rsidRPr="00EB2605">
        <w:rPr>
          <w:rFonts w:asciiTheme="minorHAnsi" w:hAnsiTheme="minorHAnsi" w:cstheme="minorHAnsi"/>
          <w:b/>
          <w:bCs/>
          <w:sz w:val="23"/>
          <w:szCs w:val="23"/>
          <w:lang w:val="en-GB"/>
        </w:rPr>
        <w:t xml:space="preserve">governance </w:t>
      </w:r>
    </w:p>
    <w:p w:rsidR="00887D13" w:rsidRPr="00EB2605" w:rsidRDefault="00887D13" w:rsidP="002F731B">
      <w:pPr>
        <w:numPr>
          <w:ilvl w:val="0"/>
          <w:numId w:val="4"/>
        </w:numPr>
        <w:jc w:val="both"/>
        <w:rPr>
          <w:rFonts w:asciiTheme="minorHAnsi" w:hAnsiTheme="minorHAnsi" w:cstheme="minorHAnsi"/>
          <w:sz w:val="23"/>
          <w:szCs w:val="23"/>
          <w:lang w:val="en-US"/>
        </w:rPr>
      </w:pPr>
      <w:r w:rsidRPr="00EB2605">
        <w:rPr>
          <w:rFonts w:asciiTheme="minorHAnsi" w:hAnsiTheme="minorHAnsi" w:cstheme="minorHAnsi"/>
          <w:sz w:val="23"/>
          <w:szCs w:val="23"/>
          <w:lang w:val="en-GB"/>
        </w:rPr>
        <w:t>Strengthen</w:t>
      </w:r>
      <w:r w:rsidR="002F731B" w:rsidRPr="00EB2605">
        <w:rPr>
          <w:rFonts w:asciiTheme="minorHAnsi" w:hAnsiTheme="minorHAnsi" w:cstheme="minorHAnsi"/>
          <w:sz w:val="23"/>
          <w:szCs w:val="23"/>
          <w:lang w:val="en-GB"/>
        </w:rPr>
        <w:t>ing the</w:t>
      </w:r>
      <w:r w:rsidRPr="00EB2605">
        <w:rPr>
          <w:rFonts w:asciiTheme="minorHAnsi" w:hAnsiTheme="minorHAnsi" w:cstheme="minorHAnsi"/>
          <w:sz w:val="23"/>
          <w:szCs w:val="23"/>
          <w:lang w:val="en-GB"/>
        </w:rPr>
        <w:t xml:space="preserve"> regional policy advocacy</w:t>
      </w:r>
      <w:r w:rsidR="002F731B" w:rsidRPr="00EB2605">
        <w:rPr>
          <w:rFonts w:asciiTheme="minorHAnsi" w:hAnsiTheme="minorHAnsi" w:cstheme="minorHAnsi"/>
          <w:sz w:val="23"/>
          <w:szCs w:val="23"/>
          <w:lang w:val="en-GB"/>
        </w:rPr>
        <w:t xml:space="preserve"> capacity</w:t>
      </w:r>
      <w:r w:rsidRPr="00EB2605">
        <w:rPr>
          <w:rFonts w:asciiTheme="minorHAnsi" w:hAnsiTheme="minorHAnsi" w:cstheme="minorHAnsi"/>
          <w:sz w:val="23"/>
          <w:szCs w:val="23"/>
          <w:lang w:val="en-GB"/>
        </w:rPr>
        <w:t xml:space="preserve"> for </w:t>
      </w:r>
      <w:r w:rsidRPr="00EB2605">
        <w:rPr>
          <w:rFonts w:asciiTheme="minorHAnsi" w:hAnsiTheme="minorHAnsi" w:cstheme="minorHAnsi"/>
          <w:b/>
          <w:bCs/>
          <w:sz w:val="23"/>
          <w:szCs w:val="23"/>
          <w:lang w:val="en-GB"/>
        </w:rPr>
        <w:t xml:space="preserve">improved financing for nutrition </w:t>
      </w:r>
      <w:r w:rsidRPr="00EB2605">
        <w:rPr>
          <w:rFonts w:asciiTheme="minorHAnsi" w:hAnsiTheme="minorHAnsi" w:cstheme="minorHAnsi"/>
          <w:sz w:val="23"/>
          <w:szCs w:val="23"/>
          <w:lang w:val="en-GB"/>
        </w:rPr>
        <w:t xml:space="preserve">results </w:t>
      </w:r>
    </w:p>
    <w:p w:rsidR="00887D13" w:rsidRPr="00EB2605" w:rsidRDefault="00887D13" w:rsidP="002F731B">
      <w:pPr>
        <w:numPr>
          <w:ilvl w:val="0"/>
          <w:numId w:val="4"/>
        </w:numPr>
        <w:jc w:val="both"/>
        <w:rPr>
          <w:rFonts w:asciiTheme="minorHAnsi" w:hAnsiTheme="minorHAnsi" w:cstheme="minorHAnsi"/>
          <w:sz w:val="23"/>
          <w:szCs w:val="23"/>
          <w:lang w:val="en-US"/>
        </w:rPr>
      </w:pPr>
      <w:r w:rsidRPr="00EB2605">
        <w:rPr>
          <w:rFonts w:asciiTheme="minorHAnsi" w:hAnsiTheme="minorHAnsi" w:cstheme="minorHAnsi"/>
          <w:b/>
          <w:bCs/>
          <w:sz w:val="23"/>
          <w:szCs w:val="23"/>
          <w:lang w:val="en-US"/>
        </w:rPr>
        <w:t xml:space="preserve">Re-Defining and positioning </w:t>
      </w:r>
      <w:r w:rsidR="002F731B" w:rsidRPr="00EB2605">
        <w:rPr>
          <w:rFonts w:asciiTheme="minorHAnsi" w:hAnsiTheme="minorHAnsi" w:cstheme="minorHAnsi"/>
          <w:b/>
          <w:bCs/>
          <w:sz w:val="23"/>
          <w:szCs w:val="23"/>
          <w:lang w:val="en-US"/>
        </w:rPr>
        <w:t xml:space="preserve">upgraded </w:t>
      </w:r>
      <w:r w:rsidRPr="00EB2605">
        <w:rPr>
          <w:rFonts w:asciiTheme="minorHAnsi" w:hAnsiTheme="minorHAnsi" w:cstheme="minorHAnsi"/>
          <w:b/>
          <w:bCs/>
          <w:sz w:val="23"/>
          <w:szCs w:val="23"/>
          <w:lang w:val="en-US"/>
        </w:rPr>
        <w:t>nutrition services in PHC system</w:t>
      </w:r>
      <w:r w:rsidR="00086195" w:rsidRPr="00EB2605">
        <w:rPr>
          <w:rFonts w:asciiTheme="minorHAnsi" w:hAnsiTheme="minorHAnsi" w:cstheme="minorHAnsi"/>
          <w:sz w:val="23"/>
          <w:szCs w:val="23"/>
          <w:lang w:val="en-US"/>
        </w:rPr>
        <w:t xml:space="preserve"> to respond to the double-</w:t>
      </w:r>
      <w:r w:rsidRPr="00EB2605">
        <w:rPr>
          <w:rFonts w:asciiTheme="minorHAnsi" w:hAnsiTheme="minorHAnsi" w:cstheme="minorHAnsi"/>
          <w:sz w:val="23"/>
          <w:szCs w:val="23"/>
          <w:lang w:val="en-US"/>
        </w:rPr>
        <w:t>burden</w:t>
      </w:r>
      <w:r w:rsidR="002F731B" w:rsidRPr="00EB2605">
        <w:rPr>
          <w:rFonts w:asciiTheme="minorHAnsi" w:hAnsiTheme="minorHAnsi" w:cstheme="minorHAnsi"/>
          <w:sz w:val="23"/>
          <w:szCs w:val="23"/>
          <w:lang w:val="en-US"/>
        </w:rPr>
        <w:t xml:space="preserve"> of malnutrition</w:t>
      </w:r>
      <w:r w:rsidRPr="00EB2605">
        <w:rPr>
          <w:rFonts w:asciiTheme="minorHAnsi" w:hAnsiTheme="minorHAnsi" w:cstheme="minorHAnsi"/>
          <w:sz w:val="23"/>
          <w:szCs w:val="23"/>
          <w:lang w:val="en-US"/>
        </w:rPr>
        <w:t xml:space="preserve"> including the defining the </w:t>
      </w:r>
      <w:r w:rsidRPr="00EB2605">
        <w:rPr>
          <w:rFonts w:asciiTheme="minorHAnsi" w:hAnsiTheme="minorHAnsi" w:cstheme="minorHAnsi"/>
          <w:b/>
          <w:bCs/>
          <w:sz w:val="23"/>
          <w:szCs w:val="23"/>
          <w:lang w:val="en-US"/>
        </w:rPr>
        <w:t xml:space="preserve">minimum needed workforce </w:t>
      </w:r>
    </w:p>
    <w:p w:rsidR="00887D13" w:rsidRPr="00EB2605" w:rsidRDefault="00887D13" w:rsidP="002F731B">
      <w:pPr>
        <w:numPr>
          <w:ilvl w:val="0"/>
          <w:numId w:val="4"/>
        </w:numPr>
        <w:jc w:val="both"/>
        <w:rPr>
          <w:rFonts w:asciiTheme="minorHAnsi" w:hAnsiTheme="minorHAnsi" w:cstheme="minorHAnsi"/>
          <w:sz w:val="23"/>
          <w:szCs w:val="23"/>
          <w:lang w:val="en-US"/>
        </w:rPr>
      </w:pPr>
      <w:r w:rsidRPr="00EB2605">
        <w:rPr>
          <w:rFonts w:asciiTheme="minorHAnsi" w:hAnsiTheme="minorHAnsi" w:cstheme="minorHAnsi"/>
          <w:b/>
          <w:bCs/>
          <w:sz w:val="23"/>
          <w:szCs w:val="23"/>
          <w:lang w:val="en-GB"/>
        </w:rPr>
        <w:t>Enhanc</w:t>
      </w:r>
      <w:r w:rsidR="00086195" w:rsidRPr="00EB2605">
        <w:rPr>
          <w:rFonts w:asciiTheme="minorHAnsi" w:hAnsiTheme="minorHAnsi" w:cstheme="minorHAnsi"/>
          <w:b/>
          <w:bCs/>
          <w:sz w:val="23"/>
          <w:szCs w:val="23"/>
          <w:lang w:val="en-GB"/>
        </w:rPr>
        <w:t>ing</w:t>
      </w:r>
      <w:r w:rsidRPr="00EB2605">
        <w:rPr>
          <w:rFonts w:asciiTheme="minorHAnsi" w:hAnsiTheme="minorHAnsi" w:cstheme="minorHAnsi"/>
          <w:b/>
          <w:bCs/>
          <w:sz w:val="23"/>
          <w:szCs w:val="23"/>
          <w:lang w:val="en-GB"/>
        </w:rPr>
        <w:t xml:space="preserve"> the capacity of the nutrition workforce with the right set of knowledge, skills and competency </w:t>
      </w:r>
      <w:r w:rsidR="002F731B" w:rsidRPr="00EB2605">
        <w:rPr>
          <w:rFonts w:asciiTheme="minorHAnsi" w:hAnsiTheme="minorHAnsi" w:cstheme="minorHAnsi"/>
          <w:sz w:val="23"/>
          <w:szCs w:val="23"/>
          <w:lang w:val="en-GB"/>
        </w:rPr>
        <w:t>sets (short, mid and long-</w:t>
      </w:r>
      <w:r w:rsidRPr="00EB2605">
        <w:rPr>
          <w:rFonts w:asciiTheme="minorHAnsi" w:hAnsiTheme="minorHAnsi" w:cstheme="minorHAnsi"/>
          <w:sz w:val="23"/>
          <w:szCs w:val="23"/>
          <w:lang w:val="en-GB"/>
        </w:rPr>
        <w:t>term strategies)</w:t>
      </w:r>
    </w:p>
    <w:p w:rsidR="00887D13" w:rsidRPr="00EB2605" w:rsidRDefault="00887D13" w:rsidP="002F731B">
      <w:pPr>
        <w:numPr>
          <w:ilvl w:val="0"/>
          <w:numId w:val="4"/>
        </w:numPr>
        <w:jc w:val="both"/>
        <w:rPr>
          <w:rFonts w:asciiTheme="minorHAnsi" w:hAnsiTheme="minorHAnsi" w:cstheme="minorHAnsi"/>
          <w:sz w:val="23"/>
          <w:szCs w:val="23"/>
          <w:lang w:val="en-US"/>
        </w:rPr>
      </w:pPr>
      <w:r w:rsidRPr="00EB2605">
        <w:rPr>
          <w:rFonts w:asciiTheme="minorHAnsi" w:hAnsiTheme="minorHAnsi" w:cstheme="minorHAnsi"/>
          <w:b/>
          <w:bCs/>
          <w:sz w:val="23"/>
          <w:szCs w:val="23"/>
          <w:lang w:val="en-GB"/>
        </w:rPr>
        <w:t>Reinforce the multidisciplinary and system straightening approache</w:t>
      </w:r>
      <w:r w:rsidRPr="00EB2605">
        <w:rPr>
          <w:rFonts w:asciiTheme="minorHAnsi" w:hAnsiTheme="minorHAnsi" w:cstheme="minorHAnsi"/>
          <w:sz w:val="23"/>
          <w:szCs w:val="23"/>
          <w:lang w:val="en-GB"/>
        </w:rPr>
        <w:t>s</w:t>
      </w:r>
      <w:r w:rsidR="00457098" w:rsidRPr="00EB2605">
        <w:rPr>
          <w:rFonts w:asciiTheme="minorHAnsi" w:hAnsiTheme="minorHAnsi" w:cstheme="minorHAnsi"/>
          <w:sz w:val="23"/>
          <w:szCs w:val="23"/>
          <w:lang w:val="en-GB"/>
        </w:rPr>
        <w:t>;</w:t>
      </w:r>
      <w:r w:rsidRPr="00EB2605">
        <w:rPr>
          <w:rFonts w:asciiTheme="minorHAnsi" w:hAnsiTheme="minorHAnsi" w:cstheme="minorHAnsi"/>
          <w:sz w:val="23"/>
          <w:szCs w:val="23"/>
          <w:lang w:val="en-US"/>
        </w:rPr>
        <w:t xml:space="preserve">utilizing health, food, </w:t>
      </w:r>
      <w:r w:rsidR="000D289C" w:rsidRPr="00EB2605">
        <w:rPr>
          <w:rFonts w:asciiTheme="minorHAnsi" w:hAnsiTheme="minorHAnsi" w:cstheme="minorHAnsi"/>
          <w:sz w:val="23"/>
          <w:szCs w:val="23"/>
          <w:lang w:val="en-US"/>
        </w:rPr>
        <w:t xml:space="preserve">nutrition, </w:t>
      </w:r>
      <w:r w:rsidRPr="00EB2605">
        <w:rPr>
          <w:rFonts w:asciiTheme="minorHAnsi" w:hAnsiTheme="minorHAnsi" w:cstheme="minorHAnsi"/>
          <w:sz w:val="23"/>
          <w:szCs w:val="23"/>
          <w:lang w:val="en-US"/>
        </w:rPr>
        <w:t>education, social protection</w:t>
      </w:r>
      <w:r w:rsidR="002F731B" w:rsidRPr="00EB2605">
        <w:rPr>
          <w:rFonts w:asciiTheme="minorHAnsi" w:hAnsiTheme="minorHAnsi" w:cstheme="minorHAnsi"/>
          <w:sz w:val="23"/>
          <w:szCs w:val="23"/>
          <w:lang w:val="en-US"/>
        </w:rPr>
        <w:t xml:space="preserve">, </w:t>
      </w:r>
      <w:r w:rsidRPr="00EB2605">
        <w:rPr>
          <w:rFonts w:asciiTheme="minorHAnsi" w:hAnsiTheme="minorHAnsi" w:cstheme="minorHAnsi"/>
          <w:sz w:val="23"/>
          <w:szCs w:val="23"/>
          <w:lang w:val="en-US"/>
        </w:rPr>
        <w:t xml:space="preserve">legislative </w:t>
      </w:r>
      <w:r w:rsidR="002F731B" w:rsidRPr="00EB2605">
        <w:rPr>
          <w:rFonts w:asciiTheme="minorHAnsi" w:hAnsiTheme="minorHAnsi" w:cstheme="minorHAnsi"/>
          <w:sz w:val="23"/>
          <w:szCs w:val="23"/>
          <w:lang w:val="en-US"/>
        </w:rPr>
        <w:t xml:space="preserve">and community </w:t>
      </w:r>
      <w:r w:rsidR="00086195" w:rsidRPr="00EB2605">
        <w:rPr>
          <w:rFonts w:asciiTheme="minorHAnsi" w:hAnsiTheme="minorHAnsi" w:cstheme="minorHAnsi"/>
          <w:sz w:val="23"/>
          <w:szCs w:val="23"/>
          <w:lang w:val="en-US"/>
        </w:rPr>
        <w:t>systems;</w:t>
      </w:r>
    </w:p>
    <w:p w:rsidR="00887D13" w:rsidRPr="00EB2605" w:rsidRDefault="00887D13" w:rsidP="002F731B">
      <w:pPr>
        <w:numPr>
          <w:ilvl w:val="0"/>
          <w:numId w:val="4"/>
        </w:numPr>
        <w:jc w:val="both"/>
        <w:rPr>
          <w:rFonts w:asciiTheme="minorHAnsi" w:hAnsiTheme="minorHAnsi" w:cstheme="minorHAnsi"/>
          <w:sz w:val="23"/>
          <w:szCs w:val="23"/>
          <w:lang w:val="en-US"/>
        </w:rPr>
      </w:pPr>
      <w:r w:rsidRPr="00EB2605">
        <w:rPr>
          <w:rFonts w:asciiTheme="minorHAnsi" w:hAnsiTheme="minorHAnsi" w:cstheme="minorHAnsi"/>
          <w:b/>
          <w:bCs/>
          <w:sz w:val="23"/>
          <w:szCs w:val="23"/>
          <w:lang w:val="en-GB"/>
        </w:rPr>
        <w:t xml:space="preserve">Collaborate region-wide </w:t>
      </w:r>
      <w:r w:rsidRPr="00EB2605">
        <w:rPr>
          <w:rFonts w:asciiTheme="minorHAnsi" w:hAnsiTheme="minorHAnsi" w:cstheme="minorHAnsi"/>
          <w:sz w:val="23"/>
          <w:szCs w:val="23"/>
          <w:lang w:val="en-GB"/>
        </w:rPr>
        <w:t xml:space="preserve">to </w:t>
      </w:r>
      <w:r w:rsidRPr="00EB2605">
        <w:rPr>
          <w:rFonts w:asciiTheme="minorHAnsi" w:hAnsiTheme="minorHAnsi" w:cstheme="minorHAnsi"/>
          <w:b/>
          <w:bCs/>
          <w:sz w:val="23"/>
          <w:szCs w:val="23"/>
          <w:lang w:val="en-GB"/>
        </w:rPr>
        <w:t xml:space="preserve">generate applied evidence and </w:t>
      </w:r>
      <w:r w:rsidR="00086195" w:rsidRPr="00EB2605">
        <w:rPr>
          <w:rFonts w:asciiTheme="minorHAnsi" w:hAnsiTheme="minorHAnsi" w:cstheme="minorHAnsi"/>
          <w:b/>
          <w:bCs/>
          <w:sz w:val="23"/>
          <w:szCs w:val="23"/>
          <w:lang w:val="en-GB"/>
        </w:rPr>
        <w:t xml:space="preserve">support development of </w:t>
      </w:r>
      <w:r w:rsidRPr="00EB2605">
        <w:rPr>
          <w:rFonts w:asciiTheme="minorHAnsi" w:hAnsiTheme="minorHAnsi" w:cstheme="minorHAnsi"/>
          <w:b/>
          <w:bCs/>
          <w:sz w:val="23"/>
          <w:szCs w:val="23"/>
          <w:lang w:val="en-GB"/>
        </w:rPr>
        <w:t xml:space="preserve">evidence-informed policy </w:t>
      </w:r>
      <w:r w:rsidR="00086195" w:rsidRPr="00EB2605">
        <w:rPr>
          <w:rFonts w:asciiTheme="minorHAnsi" w:hAnsiTheme="minorHAnsi" w:cstheme="minorHAnsi"/>
          <w:b/>
          <w:bCs/>
          <w:sz w:val="23"/>
          <w:szCs w:val="23"/>
          <w:lang w:val="en-GB"/>
        </w:rPr>
        <w:t xml:space="preserve">and guidelines </w:t>
      </w:r>
      <w:r w:rsidR="00086195" w:rsidRPr="00EB2605">
        <w:rPr>
          <w:rFonts w:asciiTheme="minorHAnsi" w:hAnsiTheme="minorHAnsi" w:cstheme="minorHAnsi"/>
          <w:sz w:val="23"/>
          <w:szCs w:val="23"/>
          <w:lang w:val="en-GB"/>
        </w:rPr>
        <w:t>including Regional Food Based Dietary Guidelines (BFDGs)</w:t>
      </w:r>
    </w:p>
    <w:p w:rsidR="00887D13" w:rsidRPr="00EB2605" w:rsidRDefault="00887D13" w:rsidP="002F731B">
      <w:pPr>
        <w:numPr>
          <w:ilvl w:val="0"/>
          <w:numId w:val="4"/>
        </w:numPr>
        <w:jc w:val="both"/>
        <w:rPr>
          <w:rFonts w:asciiTheme="minorHAnsi" w:hAnsiTheme="minorHAnsi" w:cstheme="minorHAnsi"/>
          <w:sz w:val="23"/>
          <w:szCs w:val="23"/>
          <w:lang w:val="en-US"/>
        </w:rPr>
      </w:pPr>
      <w:r w:rsidRPr="00EB2605">
        <w:rPr>
          <w:rFonts w:asciiTheme="minorHAnsi" w:hAnsiTheme="minorHAnsi" w:cstheme="minorHAnsi"/>
          <w:b/>
          <w:bCs/>
          <w:sz w:val="23"/>
          <w:szCs w:val="23"/>
          <w:lang w:val="en-GB"/>
        </w:rPr>
        <w:t>Share lessons learned and replicable good practices</w:t>
      </w:r>
    </w:p>
    <w:p w:rsidR="00022570" w:rsidRPr="00EB2605" w:rsidRDefault="00022570" w:rsidP="002F731B">
      <w:pPr>
        <w:jc w:val="both"/>
        <w:rPr>
          <w:rFonts w:asciiTheme="minorHAnsi" w:hAnsiTheme="minorHAnsi" w:cstheme="minorHAnsi"/>
          <w:sz w:val="23"/>
          <w:szCs w:val="23"/>
          <w:lang w:val="en-US"/>
        </w:rPr>
      </w:pPr>
    </w:p>
    <w:p w:rsidR="002F731B" w:rsidRPr="00EB2605" w:rsidRDefault="002F731B" w:rsidP="002F731B">
      <w:pPr>
        <w:jc w:val="both"/>
        <w:rPr>
          <w:rFonts w:asciiTheme="minorHAnsi" w:hAnsiTheme="minorHAnsi" w:cstheme="minorHAnsi"/>
          <w:sz w:val="23"/>
          <w:szCs w:val="23"/>
          <w:lang w:val="en-GB"/>
        </w:rPr>
      </w:pPr>
      <w:r w:rsidRPr="00EB2605">
        <w:rPr>
          <w:rFonts w:asciiTheme="minorHAnsi" w:hAnsiTheme="minorHAnsi" w:cstheme="minorHAnsi"/>
          <w:sz w:val="23"/>
          <w:szCs w:val="23"/>
          <w:lang w:val="en-GB"/>
        </w:rPr>
        <w:t xml:space="preserve">This platform is building on the proceedings and the </w:t>
      </w:r>
      <w:r w:rsidR="000D289C" w:rsidRPr="00EB2605">
        <w:rPr>
          <w:rFonts w:asciiTheme="minorHAnsi" w:hAnsiTheme="minorHAnsi" w:cstheme="minorHAnsi"/>
          <w:sz w:val="23"/>
          <w:szCs w:val="23"/>
          <w:lang w:val="en-GB"/>
        </w:rPr>
        <w:t xml:space="preserve">policy </w:t>
      </w:r>
      <w:r w:rsidRPr="00EB2605">
        <w:rPr>
          <w:rFonts w:asciiTheme="minorHAnsi" w:hAnsiTheme="minorHAnsi" w:cstheme="minorHAnsi"/>
          <w:sz w:val="23"/>
          <w:szCs w:val="23"/>
          <w:lang w:val="en-GB"/>
        </w:rPr>
        <w:t>recommendation of the Second International Conference on Nutrition (ICN2) and the United Nations Decade of Action on Nutrition (2015-2025) to support the countries in the region to develop needed capacity in nutrition governance to address the double burden of malnutrition.</w:t>
      </w:r>
    </w:p>
    <w:p w:rsidR="00022570" w:rsidRPr="00EB2605" w:rsidRDefault="00022570" w:rsidP="002F731B">
      <w:pPr>
        <w:jc w:val="both"/>
        <w:rPr>
          <w:rFonts w:asciiTheme="minorHAnsi" w:hAnsiTheme="minorHAnsi" w:cstheme="minorHAnsi"/>
          <w:color w:val="auto"/>
          <w:sz w:val="23"/>
          <w:szCs w:val="23"/>
          <w:lang w:val="en-GB"/>
        </w:rPr>
      </w:pPr>
    </w:p>
    <w:p w:rsidR="00022570" w:rsidRPr="00EB2605" w:rsidRDefault="00022570" w:rsidP="00022570">
      <w:pPr>
        <w:shd w:val="clear" w:color="auto" w:fill="D9D9D9"/>
        <w:rPr>
          <w:rFonts w:asciiTheme="minorHAnsi" w:hAnsiTheme="minorHAnsi" w:cstheme="minorHAnsi"/>
          <w:b/>
          <w:sz w:val="23"/>
          <w:szCs w:val="23"/>
          <w:lang w:val="en-GB"/>
        </w:rPr>
      </w:pPr>
      <w:r w:rsidRPr="00EB2605">
        <w:rPr>
          <w:rFonts w:asciiTheme="minorHAnsi" w:hAnsiTheme="minorHAnsi" w:cstheme="minorHAnsi"/>
          <w:b/>
          <w:sz w:val="23"/>
          <w:szCs w:val="23"/>
          <w:lang w:val="en-GB"/>
        </w:rPr>
        <w:t>Scope of the meeting</w:t>
      </w:r>
    </w:p>
    <w:p w:rsidR="002F731B" w:rsidRPr="00EB2605" w:rsidRDefault="002F731B" w:rsidP="002F731B">
      <w:pPr>
        <w:rPr>
          <w:rFonts w:asciiTheme="minorHAnsi" w:hAnsiTheme="minorHAnsi" w:cstheme="minorHAnsi"/>
          <w:sz w:val="23"/>
          <w:szCs w:val="23"/>
          <w:lang w:val="en-GB"/>
        </w:rPr>
      </w:pPr>
    </w:p>
    <w:p w:rsidR="00022570" w:rsidRPr="00EB2605" w:rsidRDefault="002F731B" w:rsidP="002F731B">
      <w:pPr>
        <w:jc w:val="both"/>
        <w:rPr>
          <w:rFonts w:asciiTheme="minorHAnsi" w:hAnsiTheme="minorHAnsi" w:cstheme="minorHAnsi"/>
          <w:sz w:val="23"/>
          <w:szCs w:val="23"/>
          <w:lang w:val="en-GB"/>
        </w:rPr>
      </w:pPr>
      <w:r w:rsidRPr="00EB2605">
        <w:rPr>
          <w:rFonts w:asciiTheme="minorHAnsi" w:hAnsiTheme="minorHAnsi" w:cstheme="minorHAnsi"/>
          <w:sz w:val="23"/>
          <w:szCs w:val="23"/>
          <w:lang w:val="en-GB"/>
        </w:rPr>
        <w:t xml:space="preserve">To promote a better understanding of food system </w:t>
      </w:r>
      <w:r w:rsidR="00457098" w:rsidRPr="00EB2605">
        <w:rPr>
          <w:rFonts w:asciiTheme="minorHAnsi" w:hAnsiTheme="minorHAnsi" w:cstheme="minorHAnsi"/>
          <w:sz w:val="23"/>
          <w:szCs w:val="23"/>
          <w:lang w:val="en-GB"/>
        </w:rPr>
        <w:t xml:space="preserve">and nutrition governance </w:t>
      </w:r>
      <w:r w:rsidRPr="00EB2605">
        <w:rPr>
          <w:rFonts w:asciiTheme="minorHAnsi" w:hAnsiTheme="minorHAnsi" w:cstheme="minorHAnsi"/>
          <w:sz w:val="23"/>
          <w:szCs w:val="23"/>
          <w:lang w:val="en-GB"/>
        </w:rPr>
        <w:t>in Cent</w:t>
      </w:r>
      <w:r w:rsidR="00022570" w:rsidRPr="00EB2605">
        <w:rPr>
          <w:rFonts w:asciiTheme="minorHAnsi" w:hAnsiTheme="minorHAnsi" w:cstheme="minorHAnsi"/>
          <w:sz w:val="23"/>
          <w:szCs w:val="23"/>
          <w:lang w:val="en-GB"/>
        </w:rPr>
        <w:t xml:space="preserve">ral Asia and Caucasus countries and to advocate for higher investment on nutrition and food systems in the region, </w:t>
      </w:r>
      <w:r w:rsidR="00457098" w:rsidRPr="00EB2605">
        <w:rPr>
          <w:rFonts w:asciiTheme="minorHAnsi" w:hAnsiTheme="minorHAnsi" w:cstheme="minorHAnsi"/>
          <w:sz w:val="23"/>
          <w:szCs w:val="23"/>
          <w:lang w:val="en-GB"/>
        </w:rPr>
        <w:t>t</w:t>
      </w:r>
      <w:r w:rsidRPr="00EB2605">
        <w:rPr>
          <w:rFonts w:asciiTheme="minorHAnsi" w:hAnsiTheme="minorHAnsi" w:cstheme="minorHAnsi"/>
          <w:sz w:val="23"/>
          <w:szCs w:val="23"/>
          <w:lang w:val="en-GB"/>
        </w:rPr>
        <w:t xml:space="preserve">he Regional Nutrition Capacity Development and Partnership Platform (Central Asia and Caucasus) </w:t>
      </w:r>
      <w:r w:rsidR="001617A9" w:rsidRPr="00EB2605">
        <w:rPr>
          <w:rFonts w:asciiTheme="minorHAnsi" w:hAnsiTheme="minorHAnsi" w:cstheme="minorHAnsi"/>
          <w:sz w:val="23"/>
          <w:szCs w:val="23"/>
          <w:lang w:val="en-GB"/>
        </w:rPr>
        <w:t xml:space="preserve">with support of UNICEF, WHO, FAO and WFP regional offices </w:t>
      </w:r>
      <w:r w:rsidRPr="00EB2605">
        <w:rPr>
          <w:rFonts w:asciiTheme="minorHAnsi" w:hAnsiTheme="minorHAnsi" w:cstheme="minorHAnsi"/>
          <w:sz w:val="23"/>
          <w:szCs w:val="23"/>
          <w:lang w:val="en-GB"/>
        </w:rPr>
        <w:t xml:space="preserve">will organize </w:t>
      </w:r>
      <w:r w:rsidR="00086195" w:rsidRPr="00EB2605">
        <w:rPr>
          <w:rFonts w:asciiTheme="minorHAnsi" w:hAnsiTheme="minorHAnsi" w:cstheme="minorHAnsi"/>
          <w:sz w:val="23"/>
          <w:szCs w:val="23"/>
          <w:lang w:val="en-GB"/>
        </w:rPr>
        <w:t xml:space="preserve">a 3 </w:t>
      </w:r>
      <w:r w:rsidR="00D44D6F" w:rsidRPr="00EB2605">
        <w:rPr>
          <w:rFonts w:asciiTheme="minorHAnsi" w:hAnsiTheme="minorHAnsi" w:cstheme="minorHAnsi"/>
          <w:sz w:val="23"/>
          <w:szCs w:val="23"/>
          <w:lang w:val="en-GB"/>
        </w:rPr>
        <w:t>-</w:t>
      </w:r>
      <w:r w:rsidRPr="00EB2605">
        <w:rPr>
          <w:rFonts w:asciiTheme="minorHAnsi" w:hAnsiTheme="minorHAnsi" w:cstheme="minorHAnsi"/>
          <w:sz w:val="23"/>
          <w:szCs w:val="23"/>
          <w:lang w:val="en-GB"/>
        </w:rPr>
        <w:t>day symposium on sustainable food systems for children’s healthy diets</w:t>
      </w:r>
      <w:r w:rsidR="00022570" w:rsidRPr="00EB2605">
        <w:rPr>
          <w:rFonts w:asciiTheme="minorHAnsi" w:hAnsiTheme="minorHAnsi" w:cstheme="minorHAnsi"/>
          <w:sz w:val="23"/>
          <w:szCs w:val="23"/>
          <w:lang w:val="en-GB"/>
        </w:rPr>
        <w:t xml:space="preserve">, </w:t>
      </w:r>
      <w:bookmarkStart w:id="0" w:name="_Hlk532323511"/>
      <w:r w:rsidR="00022570" w:rsidRPr="00EB2605">
        <w:rPr>
          <w:rFonts w:asciiTheme="minorHAnsi" w:hAnsiTheme="minorHAnsi" w:cstheme="minorHAnsi"/>
          <w:sz w:val="23"/>
          <w:szCs w:val="23"/>
          <w:lang w:val="en-GB"/>
        </w:rPr>
        <w:t xml:space="preserve">in </w:t>
      </w:r>
      <w:r w:rsidR="00C926F4" w:rsidRPr="00EB2605">
        <w:rPr>
          <w:rFonts w:asciiTheme="minorHAnsi" w:hAnsiTheme="minorHAnsi" w:cstheme="minorHAnsi"/>
          <w:sz w:val="23"/>
          <w:szCs w:val="23"/>
          <w:lang w:val="en-GB"/>
        </w:rPr>
        <w:t>Astana, Kazakhstan, April 24-26th 2019.</w:t>
      </w:r>
      <w:r w:rsidR="00022570" w:rsidRPr="00EB2605">
        <w:rPr>
          <w:rFonts w:asciiTheme="minorHAnsi" w:hAnsiTheme="minorHAnsi" w:cstheme="minorHAnsi"/>
          <w:sz w:val="23"/>
          <w:szCs w:val="23"/>
          <w:lang w:val="en-GB"/>
        </w:rPr>
        <w:t xml:space="preserve"> The meeting will </w:t>
      </w:r>
      <w:r w:rsidR="00B23155" w:rsidRPr="00EB2605">
        <w:rPr>
          <w:rFonts w:asciiTheme="minorHAnsi" w:hAnsiTheme="minorHAnsi" w:cstheme="minorHAnsi"/>
          <w:sz w:val="23"/>
          <w:szCs w:val="23"/>
          <w:lang w:val="en-GB"/>
        </w:rPr>
        <w:t>be composed</w:t>
      </w:r>
      <w:r w:rsidR="00022570" w:rsidRPr="00EB2605">
        <w:rPr>
          <w:rFonts w:asciiTheme="minorHAnsi" w:hAnsiTheme="minorHAnsi" w:cstheme="minorHAnsi"/>
          <w:sz w:val="23"/>
          <w:szCs w:val="23"/>
          <w:lang w:val="en-GB"/>
        </w:rPr>
        <w:t xml:space="preserve"> of:</w:t>
      </w:r>
    </w:p>
    <w:p w:rsidR="00022570" w:rsidRPr="00EB2605" w:rsidRDefault="00022570" w:rsidP="00022570">
      <w:pPr>
        <w:pStyle w:val="ListParagraph"/>
        <w:numPr>
          <w:ilvl w:val="0"/>
          <w:numId w:val="8"/>
        </w:numPr>
        <w:jc w:val="both"/>
        <w:rPr>
          <w:rFonts w:asciiTheme="minorHAnsi" w:hAnsiTheme="minorHAnsi" w:cstheme="minorHAnsi"/>
          <w:sz w:val="23"/>
          <w:szCs w:val="23"/>
          <w:lang w:val="en-GB"/>
        </w:rPr>
      </w:pPr>
      <w:r w:rsidRPr="00EB2605">
        <w:rPr>
          <w:rFonts w:asciiTheme="minorHAnsi" w:hAnsiTheme="minorHAnsi" w:cstheme="minorHAnsi"/>
          <w:sz w:val="23"/>
          <w:szCs w:val="23"/>
          <w:lang w:val="en-GB"/>
        </w:rPr>
        <w:t>A high-</w:t>
      </w:r>
      <w:r w:rsidR="001617A9" w:rsidRPr="00EB2605">
        <w:rPr>
          <w:rFonts w:asciiTheme="minorHAnsi" w:hAnsiTheme="minorHAnsi" w:cstheme="minorHAnsi"/>
          <w:sz w:val="23"/>
          <w:szCs w:val="23"/>
          <w:lang w:val="en-GB"/>
        </w:rPr>
        <w:t>level</w:t>
      </w:r>
      <w:r w:rsidR="002F731B" w:rsidRPr="00EB2605">
        <w:rPr>
          <w:rFonts w:asciiTheme="minorHAnsi" w:hAnsiTheme="minorHAnsi" w:cstheme="minorHAnsi"/>
          <w:sz w:val="23"/>
          <w:szCs w:val="23"/>
          <w:lang w:val="en-GB"/>
        </w:rPr>
        <w:t xml:space="preserve"> advocacy session on importance of financing and investment on child nutrition for the Ministries of Finance and Parliamentari</w:t>
      </w:r>
      <w:r w:rsidRPr="00EB2605">
        <w:rPr>
          <w:rFonts w:asciiTheme="minorHAnsi" w:hAnsiTheme="minorHAnsi" w:cstheme="minorHAnsi"/>
          <w:sz w:val="23"/>
          <w:szCs w:val="23"/>
          <w:lang w:val="en-GB"/>
        </w:rPr>
        <w:t>ans from the 8 countries (1 day)</w:t>
      </w:r>
    </w:p>
    <w:p w:rsidR="002F731B" w:rsidRPr="00EB2605" w:rsidRDefault="00770D27" w:rsidP="00022570">
      <w:pPr>
        <w:pStyle w:val="ListParagraph"/>
        <w:numPr>
          <w:ilvl w:val="0"/>
          <w:numId w:val="8"/>
        </w:numPr>
        <w:jc w:val="both"/>
        <w:rPr>
          <w:rFonts w:asciiTheme="minorHAnsi" w:hAnsiTheme="minorHAnsi" w:cstheme="minorHAnsi"/>
          <w:sz w:val="23"/>
          <w:szCs w:val="23"/>
          <w:lang w:val="en-GB"/>
        </w:rPr>
      </w:pPr>
      <w:r w:rsidRPr="00EB2605">
        <w:rPr>
          <w:rFonts w:asciiTheme="minorHAnsi" w:hAnsiTheme="minorHAnsi" w:cstheme="minorHAnsi"/>
          <w:sz w:val="23"/>
          <w:szCs w:val="23"/>
        </w:rPr>
        <w:t xml:space="preserve">Specialized session on Sustainable food systems and nutrition governance for healthy diets in Central Asia and Caucasus- through the eyes of children and adolescents </w:t>
      </w:r>
      <w:r w:rsidR="00022570" w:rsidRPr="00EB2605">
        <w:rPr>
          <w:rFonts w:asciiTheme="minorHAnsi" w:hAnsiTheme="minorHAnsi" w:cstheme="minorHAnsi"/>
          <w:sz w:val="23"/>
          <w:szCs w:val="23"/>
          <w:lang w:val="en-GB"/>
        </w:rPr>
        <w:t>(</w:t>
      </w:r>
      <w:r w:rsidR="00086195" w:rsidRPr="00EB2605">
        <w:rPr>
          <w:rFonts w:asciiTheme="minorHAnsi" w:hAnsiTheme="minorHAnsi" w:cstheme="minorHAnsi"/>
          <w:sz w:val="23"/>
          <w:szCs w:val="23"/>
          <w:lang w:val="en-GB"/>
        </w:rPr>
        <w:t>1 day</w:t>
      </w:r>
      <w:r w:rsidR="00022570" w:rsidRPr="00EB2605">
        <w:rPr>
          <w:rFonts w:asciiTheme="minorHAnsi" w:hAnsiTheme="minorHAnsi" w:cstheme="minorHAnsi"/>
          <w:sz w:val="23"/>
          <w:szCs w:val="23"/>
          <w:lang w:val="en-GB"/>
        </w:rPr>
        <w:t>)</w:t>
      </w:r>
    </w:p>
    <w:p w:rsidR="00130460" w:rsidRPr="00EB2605" w:rsidRDefault="00022570" w:rsidP="00130460">
      <w:pPr>
        <w:pStyle w:val="ListParagraph"/>
        <w:numPr>
          <w:ilvl w:val="0"/>
          <w:numId w:val="8"/>
        </w:numPr>
        <w:jc w:val="both"/>
        <w:rPr>
          <w:rFonts w:asciiTheme="minorHAnsi" w:hAnsiTheme="minorHAnsi" w:cstheme="minorHAnsi"/>
          <w:sz w:val="23"/>
          <w:szCs w:val="23"/>
          <w:lang w:val="en-GB"/>
        </w:rPr>
      </w:pPr>
      <w:r w:rsidRPr="00EB2605">
        <w:rPr>
          <w:rFonts w:asciiTheme="minorHAnsi" w:hAnsiTheme="minorHAnsi" w:cstheme="minorHAnsi"/>
          <w:sz w:val="23"/>
          <w:szCs w:val="23"/>
          <w:lang w:val="en-GB"/>
        </w:rPr>
        <w:t xml:space="preserve">And the </w:t>
      </w:r>
      <w:r w:rsidR="00770D27" w:rsidRPr="00EB2605">
        <w:rPr>
          <w:rFonts w:asciiTheme="minorHAnsi" w:hAnsiTheme="minorHAnsi" w:cstheme="minorHAnsi"/>
          <w:sz w:val="23"/>
          <w:szCs w:val="23"/>
          <w:lang w:val="en-GB"/>
        </w:rPr>
        <w:t>periodic</w:t>
      </w:r>
      <w:r w:rsidRPr="00EB2605">
        <w:rPr>
          <w:rFonts w:asciiTheme="minorHAnsi" w:hAnsiTheme="minorHAnsi" w:cstheme="minorHAnsi"/>
          <w:sz w:val="23"/>
          <w:szCs w:val="23"/>
          <w:lang w:val="en-GB"/>
        </w:rPr>
        <w:t xml:space="preserve"> coordination meeting of the partnership platform to review the plan of action and define the priorities for 2019 and to review the progress (</w:t>
      </w:r>
      <w:r w:rsidR="00086195" w:rsidRPr="00EB2605">
        <w:rPr>
          <w:rFonts w:asciiTheme="minorHAnsi" w:hAnsiTheme="minorHAnsi" w:cstheme="minorHAnsi"/>
          <w:sz w:val="23"/>
          <w:szCs w:val="23"/>
          <w:lang w:val="en-GB"/>
        </w:rPr>
        <w:t>1 day</w:t>
      </w:r>
      <w:bookmarkEnd w:id="0"/>
      <w:r w:rsidR="00130460" w:rsidRPr="00EB2605">
        <w:rPr>
          <w:rFonts w:asciiTheme="minorHAnsi" w:hAnsiTheme="minorHAnsi" w:cstheme="minorHAnsi"/>
          <w:sz w:val="23"/>
          <w:szCs w:val="23"/>
          <w:lang w:val="en-GB"/>
        </w:rPr>
        <w:t>).</w:t>
      </w:r>
    </w:p>
    <w:p w:rsidR="00EB2605" w:rsidRPr="00EB2605" w:rsidRDefault="00EB2605" w:rsidP="002F731B">
      <w:pPr>
        <w:contextualSpacing/>
        <w:jc w:val="both"/>
        <w:rPr>
          <w:rFonts w:asciiTheme="minorHAnsi" w:hAnsiTheme="minorHAnsi" w:cstheme="minorHAnsi"/>
          <w:color w:val="auto"/>
          <w:sz w:val="23"/>
          <w:szCs w:val="23"/>
          <w:lang w:val="en-GB"/>
        </w:rPr>
      </w:pPr>
    </w:p>
    <w:p w:rsidR="002F731B" w:rsidRPr="00EB2605" w:rsidRDefault="002F731B" w:rsidP="002F731B">
      <w:pPr>
        <w:shd w:val="clear" w:color="auto" w:fill="D9D9D9"/>
        <w:rPr>
          <w:rFonts w:asciiTheme="minorHAnsi" w:hAnsiTheme="minorHAnsi" w:cstheme="minorHAnsi"/>
          <w:b/>
          <w:sz w:val="23"/>
          <w:szCs w:val="23"/>
          <w:lang w:val="en-GB"/>
        </w:rPr>
      </w:pPr>
      <w:r w:rsidRPr="00EB2605">
        <w:rPr>
          <w:rFonts w:asciiTheme="minorHAnsi" w:hAnsiTheme="minorHAnsi" w:cstheme="minorHAnsi"/>
          <w:b/>
          <w:sz w:val="23"/>
          <w:szCs w:val="23"/>
          <w:lang w:val="en-GB"/>
        </w:rPr>
        <w:t>Objective</w:t>
      </w:r>
      <w:r w:rsidR="00022570" w:rsidRPr="00EB2605">
        <w:rPr>
          <w:rFonts w:asciiTheme="minorHAnsi" w:hAnsiTheme="minorHAnsi" w:cstheme="minorHAnsi"/>
          <w:b/>
          <w:sz w:val="23"/>
          <w:szCs w:val="23"/>
          <w:lang w:val="en-GB"/>
        </w:rPr>
        <w:t>s of the meeting/s</w:t>
      </w:r>
    </w:p>
    <w:p w:rsidR="002F731B" w:rsidRPr="00EB2605" w:rsidRDefault="002F731B" w:rsidP="002F731B">
      <w:pPr>
        <w:jc w:val="both"/>
        <w:rPr>
          <w:rFonts w:asciiTheme="minorHAnsi" w:hAnsiTheme="minorHAnsi" w:cstheme="minorHAnsi"/>
          <w:snapToGrid w:val="0"/>
          <w:sz w:val="23"/>
          <w:szCs w:val="23"/>
          <w:lang w:val="en-US"/>
        </w:rPr>
      </w:pPr>
    </w:p>
    <w:p w:rsidR="002F731B" w:rsidRPr="00EB2605" w:rsidRDefault="002F731B" w:rsidP="002F731B">
      <w:pPr>
        <w:jc w:val="both"/>
        <w:rPr>
          <w:rFonts w:asciiTheme="minorHAnsi" w:hAnsiTheme="minorHAnsi" w:cstheme="minorHAnsi"/>
          <w:snapToGrid w:val="0"/>
          <w:sz w:val="23"/>
          <w:szCs w:val="23"/>
          <w:lang w:val="en-US"/>
        </w:rPr>
      </w:pPr>
      <w:r w:rsidRPr="00EB2605">
        <w:rPr>
          <w:rFonts w:asciiTheme="minorHAnsi" w:hAnsiTheme="minorHAnsi" w:cstheme="minorHAnsi"/>
          <w:snapToGrid w:val="0"/>
          <w:sz w:val="23"/>
          <w:szCs w:val="23"/>
          <w:lang w:val="en-US"/>
        </w:rPr>
        <w:t>The objectives of the symposiu</w:t>
      </w:r>
      <w:r w:rsidR="00022570" w:rsidRPr="00EB2605">
        <w:rPr>
          <w:rFonts w:asciiTheme="minorHAnsi" w:hAnsiTheme="minorHAnsi" w:cstheme="minorHAnsi"/>
          <w:snapToGrid w:val="0"/>
          <w:sz w:val="23"/>
          <w:szCs w:val="23"/>
          <w:lang w:val="en-US"/>
        </w:rPr>
        <w:t>m are as it follows;</w:t>
      </w:r>
    </w:p>
    <w:p w:rsidR="002F731B" w:rsidRPr="00EB2605" w:rsidRDefault="002F731B" w:rsidP="002F731B">
      <w:pPr>
        <w:jc w:val="both"/>
        <w:rPr>
          <w:rFonts w:asciiTheme="minorHAnsi" w:hAnsiTheme="minorHAnsi" w:cstheme="minorHAnsi"/>
          <w:snapToGrid w:val="0"/>
          <w:sz w:val="23"/>
          <w:szCs w:val="23"/>
          <w:lang w:val="en-US"/>
        </w:rPr>
      </w:pPr>
    </w:p>
    <w:p w:rsidR="00644392" w:rsidRPr="00EB2605" w:rsidRDefault="002F731B" w:rsidP="002F731B">
      <w:pPr>
        <w:pStyle w:val="ListParagraph"/>
        <w:numPr>
          <w:ilvl w:val="0"/>
          <w:numId w:val="2"/>
        </w:numPr>
        <w:jc w:val="both"/>
        <w:rPr>
          <w:rFonts w:asciiTheme="minorHAnsi" w:hAnsiTheme="minorHAnsi" w:cstheme="minorHAnsi"/>
          <w:sz w:val="23"/>
          <w:szCs w:val="23"/>
        </w:rPr>
      </w:pPr>
      <w:r w:rsidRPr="00EB2605">
        <w:rPr>
          <w:rFonts w:asciiTheme="minorHAnsi" w:hAnsiTheme="minorHAnsi" w:cstheme="minorHAnsi"/>
          <w:snapToGrid w:val="0"/>
          <w:sz w:val="23"/>
          <w:szCs w:val="23"/>
        </w:rPr>
        <w:lastRenderedPageBreak/>
        <w:t>Raising awareness/sensitize key stakeholders (Ministries of Finance, Parliamentarians and managers from food and nutrition, Health, Education and social protection sectors</w:t>
      </w:r>
      <w:r w:rsidR="00C926F4" w:rsidRPr="00EB2605">
        <w:rPr>
          <w:rFonts w:asciiTheme="minorHAnsi" w:hAnsiTheme="minorHAnsi" w:cstheme="minorHAnsi"/>
          <w:snapToGrid w:val="0"/>
          <w:sz w:val="23"/>
          <w:szCs w:val="23"/>
        </w:rPr>
        <w:t>, Ministry of Agriculture</w:t>
      </w:r>
      <w:r w:rsidRPr="00EB2605">
        <w:rPr>
          <w:rFonts w:asciiTheme="minorHAnsi" w:hAnsiTheme="minorHAnsi" w:cstheme="minorHAnsi"/>
          <w:snapToGrid w:val="0"/>
          <w:sz w:val="23"/>
          <w:szCs w:val="23"/>
        </w:rPr>
        <w:t xml:space="preserve">), on the importance of investing in food systems and nutrition governance for healthy diets of </w:t>
      </w:r>
      <w:r w:rsidR="00C926F4" w:rsidRPr="00EB2605">
        <w:rPr>
          <w:rFonts w:asciiTheme="minorHAnsi" w:hAnsiTheme="minorHAnsi" w:cstheme="minorHAnsi"/>
          <w:snapToGrid w:val="0"/>
          <w:sz w:val="23"/>
          <w:szCs w:val="23"/>
        </w:rPr>
        <w:t xml:space="preserve">the whole population and especialy </w:t>
      </w:r>
      <w:r w:rsidRPr="00EB2605">
        <w:rPr>
          <w:rFonts w:asciiTheme="minorHAnsi" w:hAnsiTheme="minorHAnsi" w:cstheme="minorHAnsi"/>
          <w:snapToGrid w:val="0"/>
          <w:sz w:val="23"/>
          <w:szCs w:val="23"/>
        </w:rPr>
        <w:t xml:space="preserve">children and adolescents. This will result in creating a network of nutrition sensitive Finance Managers and Parliamentarians in the region. The symposium will be structured around the </w:t>
      </w:r>
      <w:r w:rsidR="00294E77" w:rsidRPr="00EB2605">
        <w:rPr>
          <w:rFonts w:asciiTheme="minorHAnsi" w:hAnsiTheme="minorHAnsi" w:cstheme="minorHAnsi"/>
          <w:snapToGrid w:val="0"/>
          <w:sz w:val="23"/>
          <w:szCs w:val="23"/>
        </w:rPr>
        <w:t>below</w:t>
      </w:r>
      <w:r w:rsidRPr="00EB2605">
        <w:rPr>
          <w:rFonts w:asciiTheme="minorHAnsi" w:hAnsiTheme="minorHAnsi" w:cstheme="minorHAnsi"/>
          <w:snapToGrid w:val="0"/>
          <w:sz w:val="23"/>
          <w:szCs w:val="23"/>
        </w:rPr>
        <w:t xml:space="preserve"> pillars</w:t>
      </w:r>
      <w:r w:rsidR="00644392" w:rsidRPr="00EB2605">
        <w:rPr>
          <w:rFonts w:asciiTheme="minorHAnsi" w:hAnsiTheme="minorHAnsi" w:cstheme="minorHAnsi"/>
          <w:snapToGrid w:val="0"/>
          <w:sz w:val="23"/>
          <w:szCs w:val="23"/>
        </w:rPr>
        <w:t>:</w:t>
      </w:r>
    </w:p>
    <w:p w:rsidR="00294E77" w:rsidRPr="00EB2605" w:rsidRDefault="00294E77" w:rsidP="00474F2A">
      <w:pPr>
        <w:pStyle w:val="ListParagraph"/>
        <w:numPr>
          <w:ilvl w:val="0"/>
          <w:numId w:val="9"/>
        </w:numPr>
        <w:jc w:val="both"/>
        <w:rPr>
          <w:rFonts w:asciiTheme="minorHAnsi" w:hAnsiTheme="minorHAnsi" w:cstheme="minorHAnsi"/>
          <w:snapToGrid w:val="0"/>
          <w:sz w:val="23"/>
          <w:szCs w:val="23"/>
        </w:rPr>
      </w:pPr>
      <w:r w:rsidRPr="00EB2605">
        <w:rPr>
          <w:rFonts w:asciiTheme="minorHAnsi" w:hAnsiTheme="minorHAnsi" w:cstheme="minorHAnsi"/>
          <w:snapToGrid w:val="0"/>
          <w:sz w:val="23"/>
          <w:szCs w:val="23"/>
        </w:rPr>
        <w:t>Sustainable Food system</w:t>
      </w:r>
      <w:r w:rsidR="0042497F" w:rsidRPr="00EB2605">
        <w:rPr>
          <w:rFonts w:asciiTheme="minorHAnsi" w:hAnsiTheme="minorHAnsi" w:cstheme="minorHAnsi"/>
          <w:snapToGrid w:val="0"/>
          <w:sz w:val="23"/>
          <w:szCs w:val="23"/>
        </w:rPr>
        <w:t>s</w:t>
      </w:r>
      <w:r w:rsidRPr="00EB2605">
        <w:rPr>
          <w:rFonts w:asciiTheme="minorHAnsi" w:hAnsiTheme="minorHAnsi" w:cstheme="minorHAnsi"/>
          <w:snapToGrid w:val="0"/>
          <w:sz w:val="23"/>
          <w:szCs w:val="23"/>
        </w:rPr>
        <w:t xml:space="preserve"> for healthy diets</w:t>
      </w:r>
      <w:r w:rsidRPr="00EB2605">
        <w:rPr>
          <w:rFonts w:asciiTheme="minorHAnsi" w:hAnsiTheme="minorHAnsi" w:cstheme="minorHAnsi"/>
          <w:snapToGrid w:val="0"/>
          <w:sz w:val="23"/>
          <w:szCs w:val="23"/>
        </w:rPr>
        <w:tab/>
      </w:r>
    </w:p>
    <w:p w:rsidR="00294E77" w:rsidRPr="00EB2605" w:rsidRDefault="00294E77" w:rsidP="00474F2A">
      <w:pPr>
        <w:pStyle w:val="ListParagraph"/>
        <w:numPr>
          <w:ilvl w:val="0"/>
          <w:numId w:val="9"/>
        </w:numPr>
        <w:jc w:val="both"/>
        <w:rPr>
          <w:rFonts w:asciiTheme="minorHAnsi" w:hAnsiTheme="minorHAnsi" w:cstheme="minorHAnsi"/>
          <w:snapToGrid w:val="0"/>
          <w:sz w:val="23"/>
          <w:szCs w:val="23"/>
        </w:rPr>
      </w:pPr>
      <w:r w:rsidRPr="00EB2605">
        <w:rPr>
          <w:rFonts w:asciiTheme="minorHAnsi" w:hAnsiTheme="minorHAnsi" w:cstheme="minorHAnsi"/>
          <w:snapToGrid w:val="0"/>
          <w:sz w:val="23"/>
          <w:szCs w:val="23"/>
        </w:rPr>
        <w:t>Conceptual framework of UNICEF on Food Systems for Children and Adolescents</w:t>
      </w:r>
    </w:p>
    <w:p w:rsidR="002F731B" w:rsidRPr="00EB2605" w:rsidRDefault="00644392" w:rsidP="00644392">
      <w:pPr>
        <w:pStyle w:val="ListParagraph"/>
        <w:numPr>
          <w:ilvl w:val="0"/>
          <w:numId w:val="9"/>
        </w:numPr>
        <w:jc w:val="both"/>
        <w:rPr>
          <w:rFonts w:asciiTheme="minorHAnsi" w:hAnsiTheme="minorHAnsi" w:cstheme="minorHAnsi"/>
          <w:snapToGrid w:val="0"/>
          <w:sz w:val="23"/>
          <w:szCs w:val="23"/>
        </w:rPr>
      </w:pPr>
      <w:r w:rsidRPr="00EB2605">
        <w:rPr>
          <w:rFonts w:asciiTheme="minorHAnsi" w:hAnsiTheme="minorHAnsi" w:cstheme="minorHAnsi"/>
          <w:snapToGrid w:val="0"/>
          <w:sz w:val="23"/>
          <w:szCs w:val="23"/>
        </w:rPr>
        <w:t>Economical returns for investment on nutrition, why to invest on child nutrition in the framework of Food systems</w:t>
      </w:r>
    </w:p>
    <w:p w:rsidR="002F731B" w:rsidRPr="00EB2605" w:rsidRDefault="002F731B" w:rsidP="00474F2A">
      <w:pPr>
        <w:pStyle w:val="ListParagraph"/>
        <w:numPr>
          <w:ilvl w:val="0"/>
          <w:numId w:val="9"/>
        </w:numPr>
        <w:jc w:val="both"/>
        <w:rPr>
          <w:rFonts w:asciiTheme="minorHAnsi" w:hAnsiTheme="minorHAnsi" w:cstheme="minorHAnsi"/>
          <w:snapToGrid w:val="0"/>
          <w:sz w:val="23"/>
          <w:szCs w:val="23"/>
        </w:rPr>
      </w:pPr>
      <w:r w:rsidRPr="00EB2605">
        <w:rPr>
          <w:rFonts w:asciiTheme="minorHAnsi" w:hAnsiTheme="minorHAnsi" w:cstheme="minorHAnsi"/>
          <w:snapToGrid w:val="0"/>
          <w:sz w:val="23"/>
          <w:szCs w:val="23"/>
        </w:rPr>
        <w:t>Food Supply Chain</w:t>
      </w:r>
    </w:p>
    <w:p w:rsidR="002F731B" w:rsidRPr="00EB2605" w:rsidRDefault="002F731B" w:rsidP="00474F2A">
      <w:pPr>
        <w:pStyle w:val="ListParagraph"/>
        <w:numPr>
          <w:ilvl w:val="0"/>
          <w:numId w:val="9"/>
        </w:numPr>
        <w:jc w:val="both"/>
        <w:rPr>
          <w:rFonts w:asciiTheme="minorHAnsi" w:hAnsiTheme="minorHAnsi" w:cstheme="minorHAnsi"/>
          <w:snapToGrid w:val="0"/>
          <w:sz w:val="23"/>
          <w:szCs w:val="23"/>
          <w:lang w:val="en-US"/>
        </w:rPr>
      </w:pPr>
      <w:r w:rsidRPr="00EB2605">
        <w:rPr>
          <w:rFonts w:asciiTheme="minorHAnsi" w:hAnsiTheme="minorHAnsi" w:cstheme="minorHAnsi"/>
          <w:snapToGrid w:val="0"/>
          <w:sz w:val="23"/>
          <w:szCs w:val="23"/>
        </w:rPr>
        <w:t>The External</w:t>
      </w:r>
      <w:r w:rsidRPr="00EB2605">
        <w:rPr>
          <w:rFonts w:asciiTheme="minorHAnsi" w:hAnsiTheme="minorHAnsi" w:cstheme="minorHAnsi"/>
          <w:snapToGrid w:val="0"/>
          <w:sz w:val="23"/>
          <w:szCs w:val="23"/>
          <w:lang w:val="en-US"/>
        </w:rPr>
        <w:t xml:space="preserve"> Food environment</w:t>
      </w:r>
    </w:p>
    <w:p w:rsidR="002F731B" w:rsidRPr="00EB2605" w:rsidRDefault="002F731B" w:rsidP="002F731B">
      <w:pPr>
        <w:pStyle w:val="ListParagraph"/>
        <w:numPr>
          <w:ilvl w:val="0"/>
          <w:numId w:val="1"/>
        </w:numPr>
        <w:jc w:val="both"/>
        <w:rPr>
          <w:rFonts w:asciiTheme="minorHAnsi" w:hAnsiTheme="minorHAnsi" w:cstheme="minorHAnsi"/>
          <w:snapToGrid w:val="0"/>
          <w:sz w:val="23"/>
          <w:szCs w:val="23"/>
          <w:lang w:val="en-US"/>
        </w:rPr>
      </w:pPr>
      <w:r w:rsidRPr="00EB2605">
        <w:rPr>
          <w:rFonts w:asciiTheme="minorHAnsi" w:hAnsiTheme="minorHAnsi" w:cstheme="minorHAnsi"/>
          <w:snapToGrid w:val="0"/>
          <w:sz w:val="23"/>
          <w:szCs w:val="23"/>
          <w:lang w:val="en-US"/>
        </w:rPr>
        <w:t>Children’s Diet</w:t>
      </w:r>
    </w:p>
    <w:p w:rsidR="002F731B" w:rsidRPr="00EB2605" w:rsidRDefault="002F731B" w:rsidP="002F731B">
      <w:pPr>
        <w:pStyle w:val="ListParagraph"/>
        <w:numPr>
          <w:ilvl w:val="0"/>
          <w:numId w:val="1"/>
        </w:numPr>
        <w:jc w:val="both"/>
        <w:rPr>
          <w:rFonts w:asciiTheme="minorHAnsi" w:hAnsiTheme="minorHAnsi" w:cstheme="minorHAnsi"/>
          <w:snapToGrid w:val="0"/>
          <w:sz w:val="23"/>
          <w:szCs w:val="23"/>
          <w:lang w:val="en-US"/>
        </w:rPr>
      </w:pPr>
      <w:r w:rsidRPr="00EB2605">
        <w:rPr>
          <w:rFonts w:asciiTheme="minorHAnsi" w:hAnsiTheme="minorHAnsi" w:cstheme="minorHAnsi"/>
          <w:snapToGrid w:val="0"/>
          <w:sz w:val="23"/>
          <w:szCs w:val="23"/>
          <w:lang w:val="en-US"/>
        </w:rPr>
        <w:t>The personal food environment</w:t>
      </w:r>
    </w:p>
    <w:p w:rsidR="002F731B" w:rsidRPr="00EB2605" w:rsidRDefault="002F731B" w:rsidP="002F731B">
      <w:pPr>
        <w:pStyle w:val="ListParagraph"/>
        <w:numPr>
          <w:ilvl w:val="0"/>
          <w:numId w:val="1"/>
        </w:numPr>
        <w:jc w:val="both"/>
        <w:rPr>
          <w:rFonts w:asciiTheme="minorHAnsi" w:hAnsiTheme="minorHAnsi" w:cstheme="minorHAnsi"/>
          <w:snapToGrid w:val="0"/>
          <w:sz w:val="23"/>
          <w:szCs w:val="23"/>
          <w:lang w:val="en-US"/>
        </w:rPr>
      </w:pPr>
      <w:r w:rsidRPr="00EB2605">
        <w:rPr>
          <w:rFonts w:asciiTheme="minorHAnsi" w:hAnsiTheme="minorHAnsi" w:cstheme="minorHAnsi"/>
          <w:snapToGrid w:val="0"/>
          <w:sz w:val="23"/>
          <w:szCs w:val="23"/>
          <w:lang w:val="en-US"/>
        </w:rPr>
        <w:t>The nutrition governance and accountability of states</w:t>
      </w:r>
    </w:p>
    <w:p w:rsidR="002F731B" w:rsidRPr="00EB2605" w:rsidRDefault="002F731B" w:rsidP="002F731B">
      <w:pPr>
        <w:jc w:val="both"/>
        <w:rPr>
          <w:rFonts w:asciiTheme="minorHAnsi" w:hAnsiTheme="minorHAnsi" w:cstheme="minorHAnsi"/>
          <w:sz w:val="23"/>
          <w:szCs w:val="23"/>
        </w:rPr>
      </w:pPr>
    </w:p>
    <w:p w:rsidR="002F731B" w:rsidRPr="00EB2605" w:rsidRDefault="002F731B" w:rsidP="002F731B">
      <w:pPr>
        <w:pStyle w:val="ListParagraph"/>
        <w:numPr>
          <w:ilvl w:val="0"/>
          <w:numId w:val="2"/>
        </w:numPr>
        <w:jc w:val="both"/>
        <w:rPr>
          <w:rFonts w:asciiTheme="minorHAnsi" w:hAnsiTheme="minorHAnsi" w:cstheme="minorHAnsi"/>
          <w:sz w:val="23"/>
          <w:szCs w:val="23"/>
          <w:lang w:val="en-GB"/>
        </w:rPr>
      </w:pPr>
      <w:r w:rsidRPr="00EB2605">
        <w:rPr>
          <w:rFonts w:asciiTheme="minorHAnsi" w:hAnsiTheme="minorHAnsi" w:cstheme="minorHAnsi"/>
          <w:snapToGrid w:val="0"/>
          <w:sz w:val="23"/>
          <w:szCs w:val="23"/>
          <w:lang w:val="en-US"/>
        </w:rPr>
        <w:t xml:space="preserve">Profiling the food systems and nutrition governance through the eyes of children and adolescent in </w:t>
      </w:r>
      <w:r w:rsidR="00B23155" w:rsidRPr="00EB2605">
        <w:rPr>
          <w:rFonts w:asciiTheme="minorHAnsi" w:hAnsiTheme="minorHAnsi" w:cstheme="minorHAnsi"/>
          <w:snapToGrid w:val="0"/>
          <w:sz w:val="23"/>
          <w:szCs w:val="23"/>
          <w:lang w:val="en-US"/>
        </w:rPr>
        <w:t>all</w:t>
      </w:r>
      <w:r w:rsidR="00022570" w:rsidRPr="00EB2605">
        <w:rPr>
          <w:rFonts w:asciiTheme="minorHAnsi" w:hAnsiTheme="minorHAnsi" w:cstheme="minorHAnsi"/>
          <w:snapToGrid w:val="0"/>
          <w:sz w:val="23"/>
          <w:szCs w:val="23"/>
          <w:lang w:val="en-US"/>
        </w:rPr>
        <w:t xml:space="preserve"> 8 countries of </w:t>
      </w:r>
      <w:r w:rsidRPr="00EB2605">
        <w:rPr>
          <w:rFonts w:asciiTheme="minorHAnsi" w:hAnsiTheme="minorHAnsi" w:cstheme="minorHAnsi"/>
          <w:snapToGrid w:val="0"/>
          <w:sz w:val="23"/>
          <w:szCs w:val="23"/>
          <w:lang w:val="en-US"/>
        </w:rPr>
        <w:t xml:space="preserve">Central Asia and Caucasus as a baseline </w:t>
      </w:r>
      <w:r w:rsidR="00022570" w:rsidRPr="00EB2605">
        <w:rPr>
          <w:rFonts w:asciiTheme="minorHAnsi" w:hAnsiTheme="minorHAnsi" w:cstheme="minorHAnsi"/>
          <w:snapToGrid w:val="0"/>
          <w:sz w:val="23"/>
          <w:szCs w:val="23"/>
          <w:lang w:val="en-US"/>
        </w:rPr>
        <w:t xml:space="preserve">for </w:t>
      </w:r>
      <w:r w:rsidRPr="00EB2605">
        <w:rPr>
          <w:rFonts w:asciiTheme="minorHAnsi" w:hAnsiTheme="minorHAnsi" w:cstheme="minorHAnsi"/>
          <w:snapToGrid w:val="0"/>
          <w:sz w:val="23"/>
          <w:szCs w:val="23"/>
          <w:lang w:val="en-US"/>
        </w:rPr>
        <w:t>measuring the results of Regional Nutrition Capacity Development and Partnership Platform (this will include a Consolidated Regional and country by country profiles).</w:t>
      </w:r>
    </w:p>
    <w:p w:rsidR="00022570" w:rsidRPr="00EB2605" w:rsidRDefault="00022570" w:rsidP="00022570">
      <w:pPr>
        <w:pStyle w:val="ListParagraph"/>
        <w:jc w:val="both"/>
        <w:rPr>
          <w:rFonts w:asciiTheme="minorHAnsi" w:hAnsiTheme="minorHAnsi" w:cstheme="minorHAnsi"/>
          <w:sz w:val="23"/>
          <w:szCs w:val="23"/>
          <w:lang w:val="en-GB"/>
        </w:rPr>
      </w:pPr>
    </w:p>
    <w:p w:rsidR="002F731B" w:rsidRPr="00EB2605" w:rsidRDefault="00022570" w:rsidP="002F731B">
      <w:pPr>
        <w:pStyle w:val="ListParagraph"/>
        <w:numPr>
          <w:ilvl w:val="0"/>
          <w:numId w:val="2"/>
        </w:numPr>
        <w:jc w:val="both"/>
        <w:rPr>
          <w:rFonts w:asciiTheme="minorHAnsi" w:hAnsiTheme="minorHAnsi" w:cstheme="minorHAnsi"/>
          <w:snapToGrid w:val="0"/>
          <w:sz w:val="23"/>
          <w:szCs w:val="23"/>
          <w:lang w:val="en-US"/>
        </w:rPr>
      </w:pPr>
      <w:r w:rsidRPr="00EB2605">
        <w:rPr>
          <w:rFonts w:asciiTheme="minorHAnsi" w:hAnsiTheme="minorHAnsi" w:cstheme="minorHAnsi"/>
          <w:snapToGrid w:val="0"/>
          <w:sz w:val="23"/>
          <w:szCs w:val="23"/>
          <w:lang w:val="en-US"/>
        </w:rPr>
        <w:t>To coordinate the</w:t>
      </w:r>
      <w:r w:rsidR="002F731B" w:rsidRPr="00EB2605">
        <w:rPr>
          <w:rFonts w:asciiTheme="minorHAnsi" w:hAnsiTheme="minorHAnsi" w:cstheme="minorHAnsi"/>
          <w:snapToGrid w:val="0"/>
          <w:sz w:val="23"/>
          <w:szCs w:val="23"/>
          <w:lang w:val="en-US"/>
        </w:rPr>
        <w:t xml:space="preserve"> Regional Nutrition Capacity Development and Partnership Platform</w:t>
      </w:r>
      <w:r w:rsidRPr="00EB2605">
        <w:rPr>
          <w:rFonts w:asciiTheme="minorHAnsi" w:hAnsiTheme="minorHAnsi" w:cstheme="minorHAnsi"/>
          <w:snapToGrid w:val="0"/>
          <w:sz w:val="23"/>
          <w:szCs w:val="23"/>
          <w:lang w:val="en-US"/>
        </w:rPr>
        <w:t xml:space="preserve"> plans</w:t>
      </w:r>
      <w:r w:rsidR="002F731B" w:rsidRPr="00EB2605">
        <w:rPr>
          <w:rFonts w:asciiTheme="minorHAnsi" w:hAnsiTheme="minorHAnsi" w:cstheme="minorHAnsi"/>
          <w:snapToGrid w:val="0"/>
          <w:sz w:val="23"/>
          <w:szCs w:val="23"/>
          <w:lang w:val="en-US"/>
        </w:rPr>
        <w:t>, to update the member states on the progress, to review of the draft Work Plan and to agree on the immediate actions for the Q2-4 2019.</w:t>
      </w:r>
    </w:p>
    <w:p w:rsidR="00464040" w:rsidRPr="00EB2605" w:rsidRDefault="00464040">
      <w:pPr>
        <w:rPr>
          <w:rFonts w:asciiTheme="minorHAnsi" w:hAnsiTheme="minorHAnsi" w:cstheme="minorHAnsi"/>
          <w:sz w:val="23"/>
          <w:szCs w:val="23"/>
          <w:lang w:val="en-US"/>
        </w:rPr>
      </w:pPr>
    </w:p>
    <w:p w:rsidR="00022570" w:rsidRPr="00EB2605" w:rsidRDefault="00022570" w:rsidP="00022570">
      <w:pPr>
        <w:shd w:val="clear" w:color="auto" w:fill="D9D9D9"/>
        <w:rPr>
          <w:rFonts w:asciiTheme="minorHAnsi" w:hAnsiTheme="minorHAnsi" w:cstheme="minorHAnsi"/>
          <w:b/>
          <w:sz w:val="23"/>
          <w:szCs w:val="23"/>
          <w:lang w:val="en-GB"/>
        </w:rPr>
      </w:pPr>
      <w:r w:rsidRPr="00EB2605">
        <w:rPr>
          <w:rFonts w:asciiTheme="minorHAnsi" w:hAnsiTheme="minorHAnsi" w:cstheme="minorHAnsi"/>
          <w:b/>
          <w:sz w:val="23"/>
          <w:szCs w:val="23"/>
          <w:lang w:val="en-GB"/>
        </w:rPr>
        <w:t>Tentative participants</w:t>
      </w:r>
      <w:r w:rsidR="00086195" w:rsidRPr="00EB2605">
        <w:rPr>
          <w:rFonts w:asciiTheme="minorHAnsi" w:hAnsiTheme="minorHAnsi" w:cstheme="minorHAnsi"/>
          <w:b/>
          <w:sz w:val="23"/>
          <w:szCs w:val="23"/>
          <w:lang w:val="en-GB"/>
        </w:rPr>
        <w:t xml:space="preserve"> and partners</w:t>
      </w:r>
    </w:p>
    <w:p w:rsidR="00022570" w:rsidRPr="00EB2605" w:rsidRDefault="00022570">
      <w:pPr>
        <w:rPr>
          <w:rFonts w:asciiTheme="minorHAnsi" w:hAnsiTheme="minorHAnsi" w:cstheme="minorHAnsi"/>
          <w:sz w:val="23"/>
          <w:szCs w:val="23"/>
          <w:lang w:val="en-US"/>
        </w:rPr>
      </w:pPr>
    </w:p>
    <w:p w:rsidR="00022570" w:rsidRPr="00EB2605" w:rsidRDefault="00022570" w:rsidP="00086195">
      <w:pPr>
        <w:pStyle w:val="ListParagraph"/>
        <w:numPr>
          <w:ilvl w:val="0"/>
          <w:numId w:val="10"/>
        </w:numPr>
        <w:rPr>
          <w:rFonts w:asciiTheme="minorHAnsi" w:hAnsiTheme="minorHAnsi" w:cstheme="minorHAnsi"/>
          <w:sz w:val="23"/>
          <w:szCs w:val="23"/>
          <w:lang w:val="en-US"/>
        </w:rPr>
      </w:pPr>
      <w:r w:rsidRPr="00EB2605">
        <w:rPr>
          <w:rFonts w:asciiTheme="minorHAnsi" w:hAnsiTheme="minorHAnsi" w:cstheme="minorHAnsi"/>
          <w:sz w:val="23"/>
          <w:szCs w:val="23"/>
          <w:lang w:val="en-US"/>
        </w:rPr>
        <w:t>The platform focal points from 8 countries</w:t>
      </w:r>
    </w:p>
    <w:p w:rsidR="00022570" w:rsidRPr="00EB2605" w:rsidRDefault="00022570" w:rsidP="00086195">
      <w:pPr>
        <w:pStyle w:val="ListParagraph"/>
        <w:numPr>
          <w:ilvl w:val="0"/>
          <w:numId w:val="10"/>
        </w:numPr>
        <w:rPr>
          <w:rFonts w:asciiTheme="minorHAnsi" w:hAnsiTheme="minorHAnsi" w:cstheme="minorHAnsi"/>
          <w:sz w:val="23"/>
          <w:szCs w:val="23"/>
          <w:lang w:val="en-US"/>
        </w:rPr>
      </w:pPr>
      <w:r w:rsidRPr="00EB2605">
        <w:rPr>
          <w:rFonts w:asciiTheme="minorHAnsi" w:hAnsiTheme="minorHAnsi" w:cstheme="minorHAnsi"/>
          <w:sz w:val="23"/>
          <w:szCs w:val="23"/>
          <w:lang w:val="en-US"/>
        </w:rPr>
        <w:t>The Ministries of Health representatives from 8 countries</w:t>
      </w:r>
    </w:p>
    <w:p w:rsidR="00022570" w:rsidRPr="00EB2605" w:rsidRDefault="00110C75" w:rsidP="00086195">
      <w:pPr>
        <w:pStyle w:val="ListParagraph"/>
        <w:numPr>
          <w:ilvl w:val="0"/>
          <w:numId w:val="10"/>
        </w:numPr>
        <w:rPr>
          <w:rFonts w:asciiTheme="minorHAnsi" w:hAnsiTheme="minorHAnsi" w:cstheme="minorHAnsi"/>
          <w:sz w:val="23"/>
          <w:szCs w:val="23"/>
          <w:lang w:val="en-US"/>
        </w:rPr>
      </w:pPr>
      <w:r w:rsidRPr="00EB2605">
        <w:rPr>
          <w:rFonts w:asciiTheme="minorHAnsi" w:hAnsiTheme="minorHAnsi" w:cstheme="minorHAnsi"/>
          <w:sz w:val="23"/>
          <w:szCs w:val="23"/>
          <w:lang w:val="en-US"/>
        </w:rPr>
        <w:t xml:space="preserve">Senior finance managers </w:t>
      </w:r>
      <w:r w:rsidR="00651D5C" w:rsidRPr="00EB2605">
        <w:rPr>
          <w:rFonts w:asciiTheme="minorHAnsi" w:hAnsiTheme="minorHAnsi" w:cstheme="minorHAnsi"/>
          <w:sz w:val="23"/>
          <w:szCs w:val="23"/>
          <w:lang w:val="en-US"/>
        </w:rPr>
        <w:t>form Ministries of Finance and E</w:t>
      </w:r>
      <w:r w:rsidRPr="00EB2605">
        <w:rPr>
          <w:rFonts w:asciiTheme="minorHAnsi" w:hAnsiTheme="minorHAnsi" w:cstheme="minorHAnsi"/>
          <w:sz w:val="23"/>
          <w:szCs w:val="23"/>
          <w:lang w:val="en-US"/>
        </w:rPr>
        <w:t xml:space="preserve">conomics </w:t>
      </w:r>
    </w:p>
    <w:p w:rsidR="00110C75" w:rsidRPr="00EB2605" w:rsidRDefault="00110C75" w:rsidP="00086195">
      <w:pPr>
        <w:pStyle w:val="ListParagraph"/>
        <w:numPr>
          <w:ilvl w:val="0"/>
          <w:numId w:val="10"/>
        </w:numPr>
        <w:rPr>
          <w:rFonts w:asciiTheme="minorHAnsi" w:hAnsiTheme="minorHAnsi" w:cstheme="minorHAnsi"/>
          <w:sz w:val="23"/>
          <w:szCs w:val="23"/>
          <w:lang w:val="en-US"/>
        </w:rPr>
      </w:pPr>
      <w:r w:rsidRPr="00EB2605">
        <w:rPr>
          <w:rFonts w:asciiTheme="minorHAnsi" w:hAnsiTheme="minorHAnsi" w:cstheme="minorHAnsi"/>
          <w:sz w:val="23"/>
          <w:szCs w:val="23"/>
          <w:lang w:val="en-US"/>
        </w:rPr>
        <w:t xml:space="preserve">Parliamentarians members of the health and food security commissions </w:t>
      </w:r>
    </w:p>
    <w:p w:rsidR="00C926F4" w:rsidRPr="00EB2605" w:rsidRDefault="00C926F4" w:rsidP="00086195">
      <w:pPr>
        <w:pStyle w:val="ListParagraph"/>
        <w:numPr>
          <w:ilvl w:val="0"/>
          <w:numId w:val="10"/>
        </w:numPr>
        <w:rPr>
          <w:rFonts w:asciiTheme="minorHAnsi" w:hAnsiTheme="minorHAnsi" w:cstheme="minorHAnsi"/>
          <w:sz w:val="23"/>
          <w:szCs w:val="23"/>
          <w:lang w:val="en-US"/>
        </w:rPr>
      </w:pPr>
      <w:r w:rsidRPr="00EB2605">
        <w:rPr>
          <w:rFonts w:asciiTheme="minorHAnsi" w:hAnsiTheme="minorHAnsi" w:cstheme="minorHAnsi"/>
          <w:sz w:val="23"/>
          <w:szCs w:val="23"/>
          <w:lang w:val="en-US"/>
        </w:rPr>
        <w:t>The Ministries of Agriculture representatives from 8 countries</w:t>
      </w:r>
    </w:p>
    <w:p w:rsidR="00110C75" w:rsidRPr="00EB2605" w:rsidRDefault="00110C75" w:rsidP="00086195">
      <w:pPr>
        <w:pStyle w:val="ListParagraph"/>
        <w:numPr>
          <w:ilvl w:val="0"/>
          <w:numId w:val="10"/>
        </w:numPr>
        <w:rPr>
          <w:rFonts w:asciiTheme="minorHAnsi" w:hAnsiTheme="minorHAnsi" w:cstheme="minorHAnsi"/>
          <w:sz w:val="23"/>
          <w:szCs w:val="23"/>
          <w:lang w:val="en-US"/>
        </w:rPr>
      </w:pPr>
      <w:r w:rsidRPr="00EB2605">
        <w:rPr>
          <w:rFonts w:asciiTheme="minorHAnsi" w:hAnsiTheme="minorHAnsi" w:cstheme="minorHAnsi"/>
          <w:sz w:val="23"/>
          <w:szCs w:val="23"/>
          <w:lang w:val="en-US"/>
        </w:rPr>
        <w:t>Other sectoral managers specifically from food security and agriculture sectors</w:t>
      </w:r>
    </w:p>
    <w:p w:rsidR="00110C75" w:rsidRPr="00EB2605" w:rsidRDefault="00110C75" w:rsidP="00086195">
      <w:pPr>
        <w:pStyle w:val="ListParagraph"/>
        <w:numPr>
          <w:ilvl w:val="0"/>
          <w:numId w:val="10"/>
        </w:numPr>
        <w:rPr>
          <w:rFonts w:asciiTheme="minorHAnsi" w:hAnsiTheme="minorHAnsi" w:cstheme="minorHAnsi"/>
          <w:sz w:val="23"/>
          <w:szCs w:val="23"/>
          <w:lang w:val="en-US"/>
        </w:rPr>
      </w:pPr>
      <w:r w:rsidRPr="00EB2605">
        <w:rPr>
          <w:rFonts w:asciiTheme="minorHAnsi" w:hAnsiTheme="minorHAnsi" w:cstheme="minorHAnsi"/>
          <w:sz w:val="23"/>
          <w:szCs w:val="23"/>
          <w:lang w:val="en-US"/>
        </w:rPr>
        <w:t>Relevant academicians</w:t>
      </w:r>
    </w:p>
    <w:p w:rsidR="00110C75" w:rsidRPr="00EB2605" w:rsidRDefault="00110C75" w:rsidP="00086195">
      <w:pPr>
        <w:pStyle w:val="ListParagraph"/>
        <w:numPr>
          <w:ilvl w:val="0"/>
          <w:numId w:val="10"/>
        </w:numPr>
        <w:rPr>
          <w:rFonts w:asciiTheme="minorHAnsi" w:hAnsiTheme="minorHAnsi" w:cstheme="minorHAnsi"/>
          <w:sz w:val="23"/>
          <w:szCs w:val="23"/>
          <w:lang w:val="en-US"/>
        </w:rPr>
      </w:pPr>
      <w:r w:rsidRPr="00EB2605">
        <w:rPr>
          <w:rFonts w:asciiTheme="minorHAnsi" w:hAnsiTheme="minorHAnsi" w:cstheme="minorHAnsi"/>
          <w:sz w:val="23"/>
          <w:szCs w:val="23"/>
          <w:lang w:val="en-US"/>
        </w:rPr>
        <w:t>UNICEF Regional Office for Europe and Central Asia</w:t>
      </w:r>
    </w:p>
    <w:p w:rsidR="00651D5C" w:rsidRPr="00EB2605" w:rsidRDefault="00651D5C" w:rsidP="00651D5C">
      <w:pPr>
        <w:pStyle w:val="ListParagraph"/>
        <w:numPr>
          <w:ilvl w:val="0"/>
          <w:numId w:val="10"/>
        </w:numPr>
        <w:rPr>
          <w:rFonts w:asciiTheme="minorHAnsi" w:hAnsiTheme="minorHAnsi" w:cstheme="minorHAnsi"/>
          <w:sz w:val="23"/>
          <w:szCs w:val="23"/>
          <w:lang w:val="en-US"/>
        </w:rPr>
      </w:pPr>
      <w:r w:rsidRPr="00EB2605">
        <w:rPr>
          <w:rFonts w:asciiTheme="minorHAnsi" w:hAnsiTheme="minorHAnsi" w:cstheme="minorHAnsi"/>
          <w:sz w:val="23"/>
          <w:szCs w:val="23"/>
          <w:lang w:val="en-US"/>
        </w:rPr>
        <w:t>FAO Regional Office for Europe and Central Asia</w:t>
      </w:r>
      <w:bookmarkStart w:id="1" w:name="_GoBack"/>
      <w:bookmarkEnd w:id="1"/>
    </w:p>
    <w:p w:rsidR="00086195" w:rsidRPr="00EB2605" w:rsidRDefault="00086195" w:rsidP="00086195">
      <w:pPr>
        <w:pStyle w:val="ListParagraph"/>
        <w:numPr>
          <w:ilvl w:val="0"/>
          <w:numId w:val="10"/>
        </w:numPr>
        <w:rPr>
          <w:rFonts w:asciiTheme="minorHAnsi" w:hAnsiTheme="minorHAnsi" w:cstheme="minorHAnsi"/>
          <w:sz w:val="23"/>
          <w:szCs w:val="23"/>
          <w:lang w:val="en-US"/>
        </w:rPr>
      </w:pPr>
      <w:r w:rsidRPr="00EB2605">
        <w:rPr>
          <w:rFonts w:asciiTheme="minorHAnsi" w:hAnsiTheme="minorHAnsi" w:cstheme="minorHAnsi"/>
          <w:sz w:val="23"/>
          <w:szCs w:val="23"/>
          <w:lang w:val="en-US"/>
        </w:rPr>
        <w:t>UNSCN</w:t>
      </w:r>
      <w:r w:rsidR="00B40BC2" w:rsidRPr="00EB2605">
        <w:rPr>
          <w:rFonts w:asciiTheme="minorHAnsi" w:hAnsiTheme="minorHAnsi" w:cstheme="minorHAnsi"/>
          <w:sz w:val="23"/>
          <w:szCs w:val="23"/>
          <w:lang w:val="en-US"/>
        </w:rPr>
        <w:t xml:space="preserve"> (United Nation Standing Committee </w:t>
      </w:r>
      <w:r w:rsidR="00651D5C" w:rsidRPr="00EB2605">
        <w:rPr>
          <w:rFonts w:asciiTheme="minorHAnsi" w:hAnsiTheme="minorHAnsi" w:cstheme="minorHAnsi"/>
          <w:sz w:val="23"/>
          <w:szCs w:val="23"/>
          <w:lang w:val="en-US"/>
        </w:rPr>
        <w:t>on Nutrition)</w:t>
      </w:r>
    </w:p>
    <w:p w:rsidR="00110C75" w:rsidRPr="00EB2605" w:rsidRDefault="00110C75" w:rsidP="00086195">
      <w:pPr>
        <w:pStyle w:val="ListParagraph"/>
        <w:numPr>
          <w:ilvl w:val="0"/>
          <w:numId w:val="10"/>
        </w:numPr>
        <w:rPr>
          <w:rFonts w:asciiTheme="minorHAnsi" w:hAnsiTheme="minorHAnsi" w:cstheme="minorHAnsi"/>
          <w:sz w:val="23"/>
          <w:szCs w:val="23"/>
          <w:lang w:val="en-US"/>
        </w:rPr>
      </w:pPr>
      <w:r w:rsidRPr="00EB2605">
        <w:rPr>
          <w:rFonts w:asciiTheme="minorHAnsi" w:hAnsiTheme="minorHAnsi" w:cstheme="minorHAnsi"/>
          <w:sz w:val="23"/>
          <w:szCs w:val="23"/>
          <w:lang w:val="en-US"/>
        </w:rPr>
        <w:t xml:space="preserve">WHO </w:t>
      </w:r>
      <w:r w:rsidR="00B40BC2" w:rsidRPr="00EB2605">
        <w:rPr>
          <w:rFonts w:asciiTheme="minorHAnsi" w:hAnsiTheme="minorHAnsi" w:cstheme="minorHAnsi"/>
          <w:sz w:val="23"/>
          <w:szCs w:val="23"/>
          <w:lang w:val="en-US"/>
        </w:rPr>
        <w:t>Office in</w:t>
      </w:r>
      <w:r w:rsidRPr="00EB2605">
        <w:rPr>
          <w:rFonts w:asciiTheme="minorHAnsi" w:hAnsiTheme="minorHAnsi" w:cstheme="minorHAnsi"/>
          <w:sz w:val="23"/>
          <w:szCs w:val="23"/>
          <w:lang w:val="en-US"/>
        </w:rPr>
        <w:t xml:space="preserve"> Moscow</w:t>
      </w:r>
    </w:p>
    <w:p w:rsidR="00110C75" w:rsidRPr="00EB2605" w:rsidRDefault="00110C75" w:rsidP="00086195">
      <w:pPr>
        <w:pStyle w:val="ListParagraph"/>
        <w:numPr>
          <w:ilvl w:val="0"/>
          <w:numId w:val="10"/>
        </w:numPr>
        <w:rPr>
          <w:rFonts w:asciiTheme="minorHAnsi" w:hAnsiTheme="minorHAnsi" w:cstheme="minorHAnsi"/>
          <w:sz w:val="23"/>
          <w:szCs w:val="23"/>
          <w:lang w:val="en-US"/>
        </w:rPr>
      </w:pPr>
      <w:r w:rsidRPr="00EB2605">
        <w:rPr>
          <w:rFonts w:asciiTheme="minorHAnsi" w:hAnsiTheme="minorHAnsi" w:cstheme="minorHAnsi"/>
          <w:sz w:val="23"/>
          <w:szCs w:val="23"/>
          <w:lang w:val="en-US"/>
        </w:rPr>
        <w:t>WHO Europe R</w:t>
      </w:r>
      <w:r w:rsidR="00B40BC2" w:rsidRPr="00EB2605">
        <w:rPr>
          <w:rFonts w:asciiTheme="minorHAnsi" w:hAnsiTheme="minorHAnsi" w:cstheme="minorHAnsi"/>
          <w:sz w:val="23"/>
          <w:szCs w:val="23"/>
          <w:lang w:val="en-US"/>
        </w:rPr>
        <w:t>egional Office</w:t>
      </w:r>
    </w:p>
    <w:p w:rsidR="00110C75" w:rsidRPr="00EB2605" w:rsidRDefault="00EB2605" w:rsidP="00086195">
      <w:pPr>
        <w:pStyle w:val="ListParagraph"/>
        <w:numPr>
          <w:ilvl w:val="0"/>
          <w:numId w:val="10"/>
        </w:numPr>
        <w:rPr>
          <w:rFonts w:asciiTheme="minorHAnsi" w:hAnsiTheme="minorHAnsi" w:cstheme="minorHAnsi"/>
          <w:sz w:val="23"/>
          <w:szCs w:val="23"/>
          <w:lang w:val="en-US"/>
        </w:rPr>
      </w:pPr>
      <w:r w:rsidRPr="00EB2605">
        <w:rPr>
          <w:rFonts w:asciiTheme="minorHAnsi" w:hAnsiTheme="minorHAnsi" w:cstheme="minorHAnsi"/>
          <w:noProof/>
          <w:sz w:val="23"/>
          <w:szCs w:val="23"/>
          <w:lang w:val="en-US"/>
        </w:rPr>
        <w:drawing>
          <wp:anchor distT="0" distB="0" distL="114300" distR="114300" simplePos="0" relativeHeight="251658240" behindDoc="1" locked="0" layoutInCell="1" allowOverlap="1">
            <wp:simplePos x="0" y="0"/>
            <wp:positionH relativeFrom="column">
              <wp:posOffset>2682240</wp:posOffset>
            </wp:positionH>
            <wp:positionV relativeFrom="paragraph">
              <wp:posOffset>3175</wp:posOffset>
            </wp:positionV>
            <wp:extent cx="2176780" cy="971172"/>
            <wp:effectExtent l="0" t="0" r="0" b="63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6780" cy="971172"/>
                    </a:xfrm>
                    <a:prstGeom prst="rect">
                      <a:avLst/>
                    </a:prstGeom>
                    <a:noFill/>
                  </pic:spPr>
                </pic:pic>
              </a:graphicData>
            </a:graphic>
            <wp14:sizeRelH relativeFrom="margin">
              <wp14:pctWidth>0</wp14:pctWidth>
            </wp14:sizeRelH>
            <wp14:sizeRelV relativeFrom="margin">
              <wp14:pctHeight>0</wp14:pctHeight>
            </wp14:sizeRelV>
          </wp:anchor>
        </w:drawing>
      </w:r>
      <w:r w:rsidR="00110C75" w:rsidRPr="00EB2605">
        <w:rPr>
          <w:rFonts w:asciiTheme="minorHAnsi" w:hAnsiTheme="minorHAnsi" w:cstheme="minorHAnsi"/>
          <w:sz w:val="23"/>
          <w:szCs w:val="23"/>
          <w:lang w:val="en-US"/>
        </w:rPr>
        <w:t xml:space="preserve">WFP </w:t>
      </w:r>
    </w:p>
    <w:p w:rsidR="00110C75" w:rsidRPr="00EB2605" w:rsidRDefault="00110C75" w:rsidP="00086195">
      <w:pPr>
        <w:pStyle w:val="ListParagraph"/>
        <w:numPr>
          <w:ilvl w:val="0"/>
          <w:numId w:val="10"/>
        </w:numPr>
        <w:rPr>
          <w:rFonts w:asciiTheme="minorHAnsi" w:hAnsiTheme="minorHAnsi" w:cstheme="minorHAnsi"/>
          <w:sz w:val="23"/>
          <w:szCs w:val="23"/>
          <w:lang w:val="en-US"/>
        </w:rPr>
      </w:pPr>
      <w:r w:rsidRPr="00EB2605">
        <w:rPr>
          <w:rFonts w:asciiTheme="minorHAnsi" w:hAnsiTheme="minorHAnsi" w:cstheme="minorHAnsi"/>
          <w:sz w:val="23"/>
          <w:szCs w:val="23"/>
          <w:lang w:val="en-US"/>
        </w:rPr>
        <w:t>USAID</w:t>
      </w:r>
    </w:p>
    <w:p w:rsidR="00110C75" w:rsidRPr="00EB2605" w:rsidRDefault="00110C75" w:rsidP="00086195">
      <w:pPr>
        <w:pStyle w:val="ListParagraph"/>
        <w:numPr>
          <w:ilvl w:val="0"/>
          <w:numId w:val="10"/>
        </w:numPr>
        <w:rPr>
          <w:rFonts w:asciiTheme="minorHAnsi" w:hAnsiTheme="minorHAnsi" w:cstheme="minorHAnsi"/>
          <w:sz w:val="23"/>
          <w:szCs w:val="23"/>
          <w:lang w:val="en-US"/>
        </w:rPr>
      </w:pPr>
      <w:r w:rsidRPr="00EB2605">
        <w:rPr>
          <w:rFonts w:asciiTheme="minorHAnsi" w:hAnsiTheme="minorHAnsi" w:cstheme="minorHAnsi"/>
          <w:sz w:val="23"/>
          <w:szCs w:val="23"/>
          <w:lang w:val="en-US"/>
        </w:rPr>
        <w:t>World Bank</w:t>
      </w:r>
    </w:p>
    <w:p w:rsidR="00110C75" w:rsidRPr="00EB2605" w:rsidRDefault="00110C75" w:rsidP="00086195">
      <w:pPr>
        <w:pStyle w:val="ListParagraph"/>
        <w:numPr>
          <w:ilvl w:val="0"/>
          <w:numId w:val="10"/>
        </w:numPr>
        <w:rPr>
          <w:rFonts w:asciiTheme="minorHAnsi" w:hAnsiTheme="minorHAnsi" w:cstheme="minorHAnsi"/>
          <w:sz w:val="23"/>
          <w:szCs w:val="23"/>
          <w:lang w:val="en-US"/>
        </w:rPr>
      </w:pPr>
      <w:r w:rsidRPr="00EB2605">
        <w:rPr>
          <w:rFonts w:asciiTheme="minorHAnsi" w:hAnsiTheme="minorHAnsi" w:cstheme="minorHAnsi"/>
          <w:sz w:val="23"/>
          <w:szCs w:val="23"/>
          <w:lang w:val="en-US"/>
        </w:rPr>
        <w:t>CAPNUTRA</w:t>
      </w:r>
    </w:p>
    <w:p w:rsidR="00086195" w:rsidRPr="00130460" w:rsidRDefault="00086195" w:rsidP="003F0651">
      <w:pPr>
        <w:ind w:left="360"/>
        <w:rPr>
          <w:rFonts w:asciiTheme="minorHAnsi" w:hAnsiTheme="minorHAnsi" w:cstheme="minorHAnsi"/>
          <w:szCs w:val="22"/>
          <w:lang w:val="en-US"/>
        </w:rPr>
      </w:pPr>
    </w:p>
    <w:sectPr w:rsidR="00086195" w:rsidRPr="00130460" w:rsidSect="005A70C1">
      <w:footnotePr>
        <w:numFmt w:val="lowerLetter"/>
      </w:footnotePr>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40A" w:rsidRDefault="0046040A" w:rsidP="002F731B">
      <w:pPr>
        <w:spacing w:line="240" w:lineRule="auto"/>
      </w:pPr>
      <w:r>
        <w:separator/>
      </w:r>
    </w:p>
  </w:endnote>
  <w:endnote w:type="continuationSeparator" w:id="0">
    <w:p w:rsidR="0046040A" w:rsidRDefault="0046040A" w:rsidP="002F73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EE"/>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460" w:rsidRPr="00130460" w:rsidRDefault="00130460" w:rsidP="00130460">
    <w:pPr>
      <w:pStyle w:val="Footer"/>
    </w:pPr>
    <w:r>
      <w:rPr>
        <w:noProof/>
      </w:rPr>
      <w:drawing>
        <wp:inline distT="0" distB="0" distL="0" distR="0" wp14:anchorId="62D7633B" wp14:editId="7C06B1DC">
          <wp:extent cx="2171700" cy="6825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855" cy="702070"/>
                  </a:xfrm>
                  <a:prstGeom prst="rect">
                    <a:avLst/>
                  </a:prstGeom>
                  <a:noFill/>
                  <a:ln>
                    <a:noFill/>
                  </a:ln>
                </pic:spPr>
              </pic:pic>
            </a:graphicData>
          </a:graphic>
        </wp:inline>
      </w:drawing>
    </w:r>
    <w:r>
      <w:t xml:space="preserve">                                  </w:t>
    </w:r>
    <w:r>
      <w:rPr>
        <w:noProof/>
      </w:rPr>
      <w:drawing>
        <wp:inline distT="0" distB="0" distL="0" distR="0" wp14:anchorId="060C9132" wp14:editId="2B2AEED3">
          <wp:extent cx="2151993" cy="676341"/>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6978" cy="69362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40A" w:rsidRDefault="0046040A" w:rsidP="002F731B">
      <w:pPr>
        <w:spacing w:line="240" w:lineRule="auto"/>
      </w:pPr>
      <w:r>
        <w:separator/>
      </w:r>
    </w:p>
  </w:footnote>
  <w:footnote w:type="continuationSeparator" w:id="0">
    <w:p w:rsidR="0046040A" w:rsidRDefault="0046040A" w:rsidP="002F731B">
      <w:pPr>
        <w:spacing w:line="240" w:lineRule="auto"/>
      </w:pPr>
      <w:r>
        <w:continuationSeparator/>
      </w:r>
    </w:p>
  </w:footnote>
  <w:footnote w:id="1">
    <w:p w:rsidR="00931B7F" w:rsidRPr="00130460" w:rsidRDefault="00931B7F">
      <w:pPr>
        <w:pStyle w:val="FootnoteText"/>
        <w:rPr>
          <w:sz w:val="18"/>
          <w:szCs w:val="18"/>
          <w:lang w:val="en-US"/>
        </w:rPr>
      </w:pPr>
      <w:r w:rsidRPr="00130460">
        <w:rPr>
          <w:rStyle w:val="FootnoteReference"/>
          <w:sz w:val="18"/>
          <w:szCs w:val="18"/>
        </w:rPr>
        <w:footnoteRef/>
      </w:r>
      <w:r w:rsidRPr="00130460">
        <w:rPr>
          <w:rFonts w:asciiTheme="minorHAnsi" w:hAnsiTheme="minorHAnsi" w:cstheme="majorBidi"/>
          <w:sz w:val="16"/>
          <w:szCs w:val="18"/>
          <w:lang w:val="en-GB"/>
        </w:rPr>
        <w:t>ICN2 Rome Declaration (2014) : http://www.fao.org/3/a-ml542e.pdf</w:t>
      </w:r>
    </w:p>
  </w:footnote>
  <w:footnote w:id="2">
    <w:p w:rsidR="00931B7F" w:rsidRPr="00130460" w:rsidRDefault="00931B7F">
      <w:pPr>
        <w:pStyle w:val="FootnoteText"/>
        <w:rPr>
          <w:sz w:val="18"/>
          <w:szCs w:val="18"/>
          <w:lang w:val="en-US"/>
        </w:rPr>
      </w:pPr>
      <w:r w:rsidRPr="00130460">
        <w:rPr>
          <w:rStyle w:val="FootnoteReference"/>
          <w:sz w:val="18"/>
          <w:szCs w:val="18"/>
        </w:rPr>
        <w:footnoteRef/>
      </w:r>
      <w:r w:rsidRPr="00130460">
        <w:rPr>
          <w:rFonts w:asciiTheme="minorHAnsi" w:hAnsiTheme="minorHAnsi" w:cstheme="majorBidi"/>
          <w:sz w:val="16"/>
          <w:szCs w:val="18"/>
          <w:lang w:val="en-GB"/>
        </w:rPr>
        <w:t>ICN2 Framework for Action: http://www.fao.org/3/a-mm215e.pdf</w:t>
      </w:r>
    </w:p>
  </w:footnote>
  <w:footnote w:id="3">
    <w:p w:rsidR="00931B7F" w:rsidRPr="00130460" w:rsidRDefault="00931B7F">
      <w:pPr>
        <w:pStyle w:val="FootnoteText"/>
        <w:rPr>
          <w:sz w:val="18"/>
          <w:szCs w:val="18"/>
          <w:lang w:val="en-US"/>
        </w:rPr>
      </w:pPr>
      <w:r w:rsidRPr="00130460">
        <w:rPr>
          <w:rStyle w:val="FootnoteReference"/>
          <w:sz w:val="18"/>
          <w:szCs w:val="18"/>
        </w:rPr>
        <w:footnoteRef/>
      </w:r>
      <w:r w:rsidRPr="00130460">
        <w:rPr>
          <w:rFonts w:asciiTheme="minorHAnsi" w:hAnsiTheme="minorHAnsi" w:cstheme="majorBidi"/>
          <w:sz w:val="16"/>
          <w:szCs w:val="18"/>
          <w:lang w:val="en-GB"/>
        </w:rPr>
        <w:t>Member States further committed, under targets 2.1 and 2.2, “By 2030, [to] end hunger and ensure access by all people, in particular the poor and people in vulnerable situations including infants, to safe, nutritious and sufficient food all year round” and “By 2030, [to] end all forms of malnutrition, including achieving by 2025 the internationally agreed targets on stunting and wasting in children under 5 years of age, and address the nutritional needs of adolescent girls, pregnant and lactating women and older persons.”</w:t>
      </w:r>
    </w:p>
  </w:footnote>
  <w:footnote w:id="4">
    <w:p w:rsidR="00931B7F" w:rsidRPr="00130460" w:rsidRDefault="00931B7F">
      <w:pPr>
        <w:pStyle w:val="FootnoteText"/>
        <w:rPr>
          <w:sz w:val="18"/>
          <w:szCs w:val="18"/>
          <w:lang w:val="en-US"/>
        </w:rPr>
      </w:pPr>
      <w:r w:rsidRPr="00130460">
        <w:rPr>
          <w:rStyle w:val="FootnoteReference"/>
          <w:sz w:val="18"/>
          <w:szCs w:val="18"/>
        </w:rPr>
        <w:footnoteRef/>
      </w:r>
      <w:r w:rsidRPr="00130460">
        <w:rPr>
          <w:rFonts w:asciiTheme="minorHAnsi" w:hAnsiTheme="minorHAnsi" w:cstheme="majorBidi"/>
          <w:sz w:val="16"/>
          <w:szCs w:val="18"/>
          <w:lang w:val="en-GB"/>
        </w:rPr>
        <w:t>http://www.un.org/en/ga/search/view_doc.asp?symbol=A/RES/70/259</w:t>
      </w:r>
    </w:p>
  </w:footnote>
  <w:footnote w:id="5">
    <w:p w:rsidR="00931B7F" w:rsidRPr="00130460" w:rsidRDefault="00931B7F">
      <w:pPr>
        <w:pStyle w:val="FootnoteText"/>
        <w:rPr>
          <w:sz w:val="18"/>
          <w:szCs w:val="18"/>
          <w:lang w:val="en-US"/>
        </w:rPr>
      </w:pPr>
      <w:r w:rsidRPr="00130460">
        <w:rPr>
          <w:rStyle w:val="FootnoteReference"/>
          <w:sz w:val="18"/>
          <w:szCs w:val="18"/>
        </w:rPr>
        <w:footnoteRef/>
      </w:r>
      <w:r w:rsidRPr="00130460">
        <w:rPr>
          <w:rFonts w:asciiTheme="minorHAnsi" w:hAnsiTheme="minorHAnsi" w:cstheme="majorBidi"/>
          <w:sz w:val="16"/>
          <w:szCs w:val="18"/>
          <w:lang w:val="en-GB"/>
        </w:rPr>
        <w:t>The UN Decade of Action on Nutrition is implemented by the Food and Agriculture Organization of the United Nations (FAO) and the World Health Organization (WHO) in collaboration with World Food Programme (WFP), the United Nations Children's Fund (UNICEF), the International Fund for Agricultural Development (IFAD), using coordination mechanisms such as the UN Standing Committee on Nutrition (UNSCN) and multi-stakeholder platforms such as the Committee on World Food Security (CFS).</w:t>
      </w:r>
    </w:p>
  </w:footnote>
  <w:footnote w:id="6">
    <w:p w:rsidR="00931B7F" w:rsidRPr="00130460" w:rsidRDefault="00931B7F">
      <w:pPr>
        <w:pStyle w:val="FootnoteText"/>
        <w:rPr>
          <w:sz w:val="18"/>
          <w:szCs w:val="18"/>
          <w:lang w:val="en-US"/>
        </w:rPr>
      </w:pPr>
      <w:r w:rsidRPr="00130460">
        <w:rPr>
          <w:rStyle w:val="FootnoteReference"/>
          <w:sz w:val="18"/>
          <w:szCs w:val="18"/>
        </w:rPr>
        <w:footnoteRef/>
      </w:r>
      <w:hyperlink r:id="rId1" w:history="1">
        <w:r w:rsidRPr="00130460">
          <w:rPr>
            <w:rStyle w:val="Hyperlink"/>
            <w:sz w:val="18"/>
            <w:szCs w:val="18"/>
          </w:rPr>
          <w:t>http://www.fao.org/europe/events/detail-events/en/c/1034293/</w:t>
        </w:r>
      </w:hyperlink>
    </w:p>
  </w:footnote>
  <w:footnote w:id="7">
    <w:p w:rsidR="00931B7F" w:rsidRPr="00130460" w:rsidRDefault="00931B7F" w:rsidP="00931B7F">
      <w:pPr>
        <w:pStyle w:val="FootnoteText"/>
        <w:rPr>
          <w:sz w:val="18"/>
          <w:szCs w:val="18"/>
        </w:rPr>
      </w:pPr>
      <w:r w:rsidRPr="00130460">
        <w:rPr>
          <w:rStyle w:val="FootnoteReference"/>
          <w:sz w:val="18"/>
          <w:szCs w:val="18"/>
        </w:rPr>
        <w:footnoteRef/>
      </w:r>
      <w:hyperlink r:id="rId2" w:history="1">
        <w:r w:rsidRPr="00130460">
          <w:rPr>
            <w:rStyle w:val="Hyperlink"/>
            <w:sz w:val="18"/>
            <w:szCs w:val="18"/>
          </w:rPr>
          <w:t>http://undocs.org/E/2018/L.16</w:t>
        </w:r>
      </w:hyperlink>
    </w:p>
    <w:p w:rsidR="00931B7F" w:rsidRPr="00931B7F" w:rsidRDefault="00931B7F">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D13" w:rsidRDefault="00887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13CE"/>
    <w:multiLevelType w:val="hybridMultilevel"/>
    <w:tmpl w:val="F0569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122348"/>
    <w:multiLevelType w:val="hybridMultilevel"/>
    <w:tmpl w:val="5AA020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0C4B74"/>
    <w:multiLevelType w:val="hybridMultilevel"/>
    <w:tmpl w:val="E9A88504"/>
    <w:lvl w:ilvl="0" w:tplc="57FA7482">
      <w:start w:val="1"/>
      <w:numFmt w:val="decimal"/>
      <w:lvlText w:val="%1."/>
      <w:lvlJc w:val="left"/>
      <w:pPr>
        <w:tabs>
          <w:tab w:val="num" w:pos="720"/>
        </w:tabs>
        <w:ind w:left="720" w:hanging="360"/>
      </w:pPr>
    </w:lvl>
    <w:lvl w:ilvl="1" w:tplc="2D7A10EE" w:tentative="1">
      <w:start w:val="1"/>
      <w:numFmt w:val="decimal"/>
      <w:lvlText w:val="%2."/>
      <w:lvlJc w:val="left"/>
      <w:pPr>
        <w:tabs>
          <w:tab w:val="num" w:pos="1440"/>
        </w:tabs>
        <w:ind w:left="1440" w:hanging="360"/>
      </w:pPr>
    </w:lvl>
    <w:lvl w:ilvl="2" w:tplc="D0525A72" w:tentative="1">
      <w:start w:val="1"/>
      <w:numFmt w:val="decimal"/>
      <w:lvlText w:val="%3."/>
      <w:lvlJc w:val="left"/>
      <w:pPr>
        <w:tabs>
          <w:tab w:val="num" w:pos="2160"/>
        </w:tabs>
        <w:ind w:left="2160" w:hanging="360"/>
      </w:pPr>
    </w:lvl>
    <w:lvl w:ilvl="3" w:tplc="4B5C69BE" w:tentative="1">
      <w:start w:val="1"/>
      <w:numFmt w:val="decimal"/>
      <w:lvlText w:val="%4."/>
      <w:lvlJc w:val="left"/>
      <w:pPr>
        <w:tabs>
          <w:tab w:val="num" w:pos="2880"/>
        </w:tabs>
        <w:ind w:left="2880" w:hanging="360"/>
      </w:pPr>
    </w:lvl>
    <w:lvl w:ilvl="4" w:tplc="13481622" w:tentative="1">
      <w:start w:val="1"/>
      <w:numFmt w:val="decimal"/>
      <w:lvlText w:val="%5."/>
      <w:lvlJc w:val="left"/>
      <w:pPr>
        <w:tabs>
          <w:tab w:val="num" w:pos="3600"/>
        </w:tabs>
        <w:ind w:left="3600" w:hanging="360"/>
      </w:pPr>
    </w:lvl>
    <w:lvl w:ilvl="5" w:tplc="683C669A" w:tentative="1">
      <w:start w:val="1"/>
      <w:numFmt w:val="decimal"/>
      <w:lvlText w:val="%6."/>
      <w:lvlJc w:val="left"/>
      <w:pPr>
        <w:tabs>
          <w:tab w:val="num" w:pos="4320"/>
        </w:tabs>
        <w:ind w:left="4320" w:hanging="360"/>
      </w:pPr>
    </w:lvl>
    <w:lvl w:ilvl="6" w:tplc="AA5E6D86" w:tentative="1">
      <w:start w:val="1"/>
      <w:numFmt w:val="decimal"/>
      <w:lvlText w:val="%7."/>
      <w:lvlJc w:val="left"/>
      <w:pPr>
        <w:tabs>
          <w:tab w:val="num" w:pos="5040"/>
        </w:tabs>
        <w:ind w:left="5040" w:hanging="360"/>
      </w:pPr>
    </w:lvl>
    <w:lvl w:ilvl="7" w:tplc="295C03F6" w:tentative="1">
      <w:start w:val="1"/>
      <w:numFmt w:val="decimal"/>
      <w:lvlText w:val="%8."/>
      <w:lvlJc w:val="left"/>
      <w:pPr>
        <w:tabs>
          <w:tab w:val="num" w:pos="5760"/>
        </w:tabs>
        <w:ind w:left="5760" w:hanging="360"/>
      </w:pPr>
    </w:lvl>
    <w:lvl w:ilvl="8" w:tplc="3926C372" w:tentative="1">
      <w:start w:val="1"/>
      <w:numFmt w:val="decimal"/>
      <w:lvlText w:val="%9."/>
      <w:lvlJc w:val="left"/>
      <w:pPr>
        <w:tabs>
          <w:tab w:val="num" w:pos="6480"/>
        </w:tabs>
        <w:ind w:left="6480" w:hanging="360"/>
      </w:pPr>
    </w:lvl>
  </w:abstractNum>
  <w:abstractNum w:abstractNumId="3" w15:restartNumberingAfterBreak="0">
    <w:nsid w:val="2F3968EC"/>
    <w:multiLevelType w:val="hybridMultilevel"/>
    <w:tmpl w:val="0CD497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B42D96"/>
    <w:multiLevelType w:val="hybridMultilevel"/>
    <w:tmpl w:val="881AC61C"/>
    <w:lvl w:ilvl="0" w:tplc="967209C8">
      <w:start w:val="1"/>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F25396"/>
    <w:multiLevelType w:val="hybridMultilevel"/>
    <w:tmpl w:val="EE6E81AA"/>
    <w:lvl w:ilvl="0" w:tplc="86ACDC2A">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A47657"/>
    <w:multiLevelType w:val="hybridMultilevel"/>
    <w:tmpl w:val="86FE63DC"/>
    <w:lvl w:ilvl="0" w:tplc="967209C8">
      <w:start w:val="1"/>
      <w:numFmt w:val="bullet"/>
      <w:lvlText w:val="-"/>
      <w:lvlJc w:val="left"/>
      <w:pPr>
        <w:ind w:left="1080" w:hanging="360"/>
      </w:pPr>
      <w:rPr>
        <w:rFonts w:ascii="Times New Roman" w:eastAsia="Times"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684D08"/>
    <w:multiLevelType w:val="hybridMultilevel"/>
    <w:tmpl w:val="F438CF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AB54F9"/>
    <w:multiLevelType w:val="hybridMultilevel"/>
    <w:tmpl w:val="23F6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5A6C32"/>
    <w:multiLevelType w:val="hybridMultilevel"/>
    <w:tmpl w:val="0FA6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A627C3"/>
    <w:multiLevelType w:val="hybridMultilevel"/>
    <w:tmpl w:val="402C6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2"/>
  </w:num>
  <w:num w:numId="5">
    <w:abstractNumId w:val="4"/>
  </w:num>
  <w:num w:numId="6">
    <w:abstractNumId w:val="1"/>
  </w:num>
  <w:num w:numId="7">
    <w:abstractNumId w:val="6"/>
  </w:num>
  <w:num w:numId="8">
    <w:abstractNumId w:val="7"/>
  </w:num>
  <w:num w:numId="9">
    <w:abstractNumId w:val="3"/>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31B"/>
    <w:rsid w:val="00007E72"/>
    <w:rsid w:val="00022570"/>
    <w:rsid w:val="00086195"/>
    <w:rsid w:val="000D289C"/>
    <w:rsid w:val="00110C75"/>
    <w:rsid w:val="00130460"/>
    <w:rsid w:val="001617A9"/>
    <w:rsid w:val="001700F8"/>
    <w:rsid w:val="00171ECD"/>
    <w:rsid w:val="0025725E"/>
    <w:rsid w:val="00294E77"/>
    <w:rsid w:val="00295C1C"/>
    <w:rsid w:val="002C716E"/>
    <w:rsid w:val="002F731B"/>
    <w:rsid w:val="003D4183"/>
    <w:rsid w:val="003F0651"/>
    <w:rsid w:val="0042497F"/>
    <w:rsid w:val="00447322"/>
    <w:rsid w:val="00450267"/>
    <w:rsid w:val="00457098"/>
    <w:rsid w:val="0046040A"/>
    <w:rsid w:val="00464040"/>
    <w:rsid w:val="00474F2A"/>
    <w:rsid w:val="00501B89"/>
    <w:rsid w:val="005A70C1"/>
    <w:rsid w:val="00632C5E"/>
    <w:rsid w:val="00644392"/>
    <w:rsid w:val="00651D5C"/>
    <w:rsid w:val="00672AB6"/>
    <w:rsid w:val="00695BFD"/>
    <w:rsid w:val="006B2C9C"/>
    <w:rsid w:val="00770D27"/>
    <w:rsid w:val="007E7996"/>
    <w:rsid w:val="007F473F"/>
    <w:rsid w:val="00803A6C"/>
    <w:rsid w:val="008245B5"/>
    <w:rsid w:val="0083012C"/>
    <w:rsid w:val="008352B2"/>
    <w:rsid w:val="00866285"/>
    <w:rsid w:val="008774F5"/>
    <w:rsid w:val="00887D13"/>
    <w:rsid w:val="0089669E"/>
    <w:rsid w:val="008B3086"/>
    <w:rsid w:val="00927611"/>
    <w:rsid w:val="00931B7F"/>
    <w:rsid w:val="00934A42"/>
    <w:rsid w:val="00986AB2"/>
    <w:rsid w:val="00A15730"/>
    <w:rsid w:val="00A27E9B"/>
    <w:rsid w:val="00A812C9"/>
    <w:rsid w:val="00A87A44"/>
    <w:rsid w:val="00A933B2"/>
    <w:rsid w:val="00B23155"/>
    <w:rsid w:val="00B40BC2"/>
    <w:rsid w:val="00BC7FA1"/>
    <w:rsid w:val="00C926B5"/>
    <w:rsid w:val="00C926F4"/>
    <w:rsid w:val="00C940A6"/>
    <w:rsid w:val="00D1760B"/>
    <w:rsid w:val="00D3255D"/>
    <w:rsid w:val="00D44D6F"/>
    <w:rsid w:val="00D533DD"/>
    <w:rsid w:val="00D81D96"/>
    <w:rsid w:val="00EA4066"/>
    <w:rsid w:val="00EB2605"/>
    <w:rsid w:val="00EF40DA"/>
    <w:rsid w:val="00FC7E7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8EF51"/>
  <w15:docId w15:val="{18B8B958-4A01-4A51-BAC4-2C1A3D60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731B"/>
    <w:pPr>
      <w:spacing w:after="0" w:line="260" w:lineRule="exact"/>
    </w:pPr>
    <w:rPr>
      <w:rFonts w:ascii="Times New Roman" w:eastAsia="Times" w:hAnsi="Times New Roman" w:cs="Times New Roman"/>
      <w:color w:val="000000"/>
      <w:szCs w:val="20"/>
      <w:lang w:val="pt-PT"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731B"/>
    <w:rPr>
      <w:color w:val="0000FF"/>
      <w:u w:val="single"/>
    </w:rPr>
  </w:style>
  <w:style w:type="paragraph" w:styleId="ListParagraph">
    <w:name w:val="List Paragraph"/>
    <w:aliases w:val="bulleted Jens"/>
    <w:basedOn w:val="Normal"/>
    <w:link w:val="ListParagraphChar"/>
    <w:uiPriority w:val="34"/>
    <w:qFormat/>
    <w:rsid w:val="002F731B"/>
    <w:pPr>
      <w:spacing w:line="240" w:lineRule="auto"/>
      <w:ind w:left="720"/>
    </w:pPr>
    <w:rPr>
      <w:rFonts w:eastAsia="Times New Roman"/>
      <w:color w:val="auto"/>
      <w:sz w:val="24"/>
      <w:szCs w:val="24"/>
      <w:lang w:eastAsia="en-US"/>
    </w:rPr>
  </w:style>
  <w:style w:type="paragraph" w:styleId="CommentText">
    <w:name w:val="annotation text"/>
    <w:basedOn w:val="Normal"/>
    <w:link w:val="CommentTextChar"/>
    <w:uiPriority w:val="99"/>
    <w:rsid w:val="002F731B"/>
    <w:rPr>
      <w:sz w:val="20"/>
    </w:rPr>
  </w:style>
  <w:style w:type="character" w:customStyle="1" w:styleId="CommentTextChar">
    <w:name w:val="Comment Text Char"/>
    <w:basedOn w:val="DefaultParagraphFont"/>
    <w:link w:val="CommentText"/>
    <w:uiPriority w:val="99"/>
    <w:rsid w:val="002F731B"/>
    <w:rPr>
      <w:rFonts w:ascii="Times New Roman" w:eastAsia="Times" w:hAnsi="Times New Roman" w:cs="Times New Roman"/>
      <w:color w:val="000000"/>
      <w:sz w:val="20"/>
      <w:szCs w:val="20"/>
      <w:lang w:val="pt-PT" w:eastAsia="en-GB"/>
    </w:rPr>
  </w:style>
  <w:style w:type="paragraph" w:styleId="FootnoteText">
    <w:name w:val="footnote text"/>
    <w:aliases w:val="Car,single space,ft,Footnote Text Char1,Footnote Text Char Char,footnote text,Footnote Text Char Char Char Char Char Char Char Char Char Char,Footnote Text Char Char Char Char Char Char Char Char Char Char Char Char,Footnote Text2,ft2,fn"/>
    <w:basedOn w:val="Normal"/>
    <w:link w:val="FootnoteTextChar"/>
    <w:uiPriority w:val="99"/>
    <w:qFormat/>
    <w:rsid w:val="002F731B"/>
    <w:pPr>
      <w:spacing w:line="240" w:lineRule="auto"/>
    </w:pPr>
    <w:rPr>
      <w:rFonts w:eastAsia="Times New Roman"/>
      <w:color w:val="auto"/>
      <w:sz w:val="20"/>
      <w:lang w:val="en-AU" w:eastAsia="en-US"/>
    </w:rPr>
  </w:style>
  <w:style w:type="character" w:customStyle="1" w:styleId="FootnoteTextChar">
    <w:name w:val="Footnote Text Char"/>
    <w:aliases w:val="Car Char,single space Char,ft Char,Footnote Text Char1 Char,Footnote Text Char Char Char,footnote text Char,Footnote Text Char Char Char Char Char Char Char Char Char Char Char,Footnote Text2 Char,ft2 Char,fn Char"/>
    <w:basedOn w:val="DefaultParagraphFont"/>
    <w:link w:val="FootnoteText"/>
    <w:uiPriority w:val="99"/>
    <w:rsid w:val="002F731B"/>
    <w:rPr>
      <w:rFonts w:ascii="Times New Roman" w:eastAsia="Times New Roman" w:hAnsi="Times New Roman" w:cs="Times New Roman"/>
      <w:sz w:val="20"/>
      <w:szCs w:val="20"/>
      <w:lang w:val="en-AU"/>
    </w:rPr>
  </w:style>
  <w:style w:type="character" w:styleId="FootnoteReference">
    <w:name w:val="footnote reference"/>
    <w:aliases w:val="16 Point,Superscript 6 Point,ftref, BVI fnr,BVI fnr, BVI fnr Car Car,BVI fnr Car, BVI fnr Car Car Car Car,Footnote text,BVI fnr Car Car,BVI fnr Car Car Car Car,fr,Footnote Reference Number,Footnote Reference_LVL6,4_G"/>
    <w:link w:val="BVIfnrCharCharCharChar"/>
    <w:uiPriority w:val="99"/>
    <w:qFormat/>
    <w:rsid w:val="002F731B"/>
    <w:rPr>
      <w:vertAlign w:val="superscript"/>
    </w:rPr>
  </w:style>
  <w:style w:type="character" w:styleId="Strong">
    <w:name w:val="Strong"/>
    <w:qFormat/>
    <w:rsid w:val="002F731B"/>
    <w:rPr>
      <w:b/>
      <w:bCs/>
    </w:rPr>
  </w:style>
  <w:style w:type="character" w:customStyle="1" w:styleId="ListParagraphChar">
    <w:name w:val="List Paragraph Char"/>
    <w:aliases w:val="bulleted Jens Char"/>
    <w:link w:val="ListParagraph"/>
    <w:uiPriority w:val="34"/>
    <w:locked/>
    <w:rsid w:val="002F731B"/>
    <w:rPr>
      <w:rFonts w:ascii="Times New Roman" w:eastAsia="Times New Roman" w:hAnsi="Times New Roman" w:cs="Times New Roman"/>
      <w:sz w:val="24"/>
      <w:szCs w:val="24"/>
      <w:lang w:val="pt-PT"/>
    </w:rPr>
  </w:style>
  <w:style w:type="paragraph" w:customStyle="1" w:styleId="BVIfnrCharCharCharChar">
    <w:name w:val="BVI fnr Char Char Char Char"/>
    <w:aliases w:val="BVI fnr Car Car Char Char Char Char,BVI fnr Car Char Char Char Char,BVI fnr Car Car Car Car Char Char Char1 Char,BVI fnr Car Car Car Char Char Char Char,BVI fnr Car Car Car Car Car Char Char Char Char"/>
    <w:basedOn w:val="Normal"/>
    <w:link w:val="FootnoteReference"/>
    <w:uiPriority w:val="99"/>
    <w:rsid w:val="002F731B"/>
    <w:pPr>
      <w:spacing w:after="160" w:line="240" w:lineRule="exact"/>
      <w:jc w:val="both"/>
    </w:pPr>
    <w:rPr>
      <w:rFonts w:asciiTheme="minorHAnsi" w:eastAsiaTheme="minorHAnsi" w:hAnsiTheme="minorHAnsi" w:cstheme="minorBidi"/>
      <w:color w:val="auto"/>
      <w:szCs w:val="22"/>
      <w:vertAlign w:val="superscript"/>
      <w:lang w:val="en-US" w:eastAsia="en-US"/>
    </w:rPr>
  </w:style>
  <w:style w:type="paragraph" w:styleId="Header">
    <w:name w:val="header"/>
    <w:basedOn w:val="Normal"/>
    <w:link w:val="HeaderChar"/>
    <w:uiPriority w:val="99"/>
    <w:unhideWhenUsed/>
    <w:rsid w:val="002F731B"/>
    <w:pPr>
      <w:tabs>
        <w:tab w:val="center" w:pos="4680"/>
        <w:tab w:val="right" w:pos="9360"/>
      </w:tabs>
      <w:spacing w:line="240" w:lineRule="auto"/>
    </w:pPr>
  </w:style>
  <w:style w:type="character" w:customStyle="1" w:styleId="HeaderChar">
    <w:name w:val="Header Char"/>
    <w:basedOn w:val="DefaultParagraphFont"/>
    <w:link w:val="Header"/>
    <w:uiPriority w:val="99"/>
    <w:rsid w:val="002F731B"/>
    <w:rPr>
      <w:rFonts w:ascii="Times New Roman" w:eastAsia="Times" w:hAnsi="Times New Roman" w:cs="Times New Roman"/>
      <w:color w:val="000000"/>
      <w:szCs w:val="20"/>
      <w:lang w:val="pt-PT" w:eastAsia="en-GB"/>
    </w:rPr>
  </w:style>
  <w:style w:type="paragraph" w:styleId="Footer">
    <w:name w:val="footer"/>
    <w:basedOn w:val="Normal"/>
    <w:link w:val="FooterChar"/>
    <w:uiPriority w:val="99"/>
    <w:unhideWhenUsed/>
    <w:rsid w:val="002F731B"/>
    <w:pPr>
      <w:tabs>
        <w:tab w:val="center" w:pos="4680"/>
        <w:tab w:val="right" w:pos="9360"/>
      </w:tabs>
      <w:spacing w:line="240" w:lineRule="auto"/>
    </w:pPr>
  </w:style>
  <w:style w:type="character" w:customStyle="1" w:styleId="FooterChar">
    <w:name w:val="Footer Char"/>
    <w:basedOn w:val="DefaultParagraphFont"/>
    <w:link w:val="Footer"/>
    <w:uiPriority w:val="99"/>
    <w:rsid w:val="002F731B"/>
    <w:rPr>
      <w:rFonts w:ascii="Times New Roman" w:eastAsia="Times" w:hAnsi="Times New Roman" w:cs="Times New Roman"/>
      <w:color w:val="000000"/>
      <w:szCs w:val="20"/>
      <w:lang w:val="pt-PT" w:eastAsia="en-GB"/>
    </w:rPr>
  </w:style>
  <w:style w:type="paragraph" w:styleId="NormalWeb">
    <w:name w:val="Normal (Web)"/>
    <w:basedOn w:val="Normal"/>
    <w:uiPriority w:val="99"/>
    <w:semiHidden/>
    <w:unhideWhenUsed/>
    <w:rsid w:val="002F731B"/>
    <w:pPr>
      <w:spacing w:before="100" w:beforeAutospacing="1" w:after="100" w:afterAutospacing="1" w:line="240" w:lineRule="auto"/>
    </w:pPr>
    <w:rPr>
      <w:rFonts w:eastAsia="Times New Roman"/>
      <w:color w:val="auto"/>
      <w:sz w:val="24"/>
      <w:szCs w:val="24"/>
      <w:lang w:val="en-US" w:eastAsia="en-US"/>
    </w:rPr>
  </w:style>
  <w:style w:type="paragraph" w:styleId="BalloonText">
    <w:name w:val="Balloon Text"/>
    <w:basedOn w:val="Normal"/>
    <w:link w:val="BalloonTextChar"/>
    <w:uiPriority w:val="99"/>
    <w:semiHidden/>
    <w:unhideWhenUsed/>
    <w:rsid w:val="00695B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BFD"/>
    <w:rPr>
      <w:rFonts w:ascii="Tahoma" w:eastAsia="Times" w:hAnsi="Tahoma" w:cs="Tahoma"/>
      <w:color w:val="000000"/>
      <w:sz w:val="16"/>
      <w:szCs w:val="16"/>
      <w:lang w:val="pt-PT" w:eastAsia="en-GB"/>
    </w:rPr>
  </w:style>
  <w:style w:type="character" w:styleId="CommentReference">
    <w:name w:val="annotation reference"/>
    <w:basedOn w:val="DefaultParagraphFont"/>
    <w:uiPriority w:val="99"/>
    <w:semiHidden/>
    <w:unhideWhenUsed/>
    <w:rsid w:val="00C926F4"/>
    <w:rPr>
      <w:sz w:val="16"/>
      <w:szCs w:val="16"/>
    </w:rPr>
  </w:style>
  <w:style w:type="paragraph" w:styleId="CommentSubject">
    <w:name w:val="annotation subject"/>
    <w:basedOn w:val="CommentText"/>
    <w:next w:val="CommentText"/>
    <w:link w:val="CommentSubjectChar"/>
    <w:uiPriority w:val="99"/>
    <w:semiHidden/>
    <w:unhideWhenUsed/>
    <w:rsid w:val="00C926F4"/>
    <w:pPr>
      <w:spacing w:line="240" w:lineRule="auto"/>
    </w:pPr>
    <w:rPr>
      <w:b/>
      <w:bCs/>
    </w:rPr>
  </w:style>
  <w:style w:type="character" w:customStyle="1" w:styleId="CommentSubjectChar">
    <w:name w:val="Comment Subject Char"/>
    <w:basedOn w:val="CommentTextChar"/>
    <w:link w:val="CommentSubject"/>
    <w:uiPriority w:val="99"/>
    <w:semiHidden/>
    <w:rsid w:val="00C926F4"/>
    <w:rPr>
      <w:rFonts w:ascii="Times New Roman" w:eastAsia="Times" w:hAnsi="Times New Roman" w:cs="Times New Roman"/>
      <w:b/>
      <w:bCs/>
      <w:color w:val="000000"/>
      <w:sz w:val="20"/>
      <w:szCs w:val="20"/>
      <w:lang w:val="pt-P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912218">
      <w:bodyDiv w:val="1"/>
      <w:marLeft w:val="0"/>
      <w:marRight w:val="0"/>
      <w:marTop w:val="0"/>
      <w:marBottom w:val="0"/>
      <w:divBdr>
        <w:top w:val="none" w:sz="0" w:space="0" w:color="auto"/>
        <w:left w:val="none" w:sz="0" w:space="0" w:color="auto"/>
        <w:bottom w:val="none" w:sz="0" w:space="0" w:color="auto"/>
        <w:right w:val="none" w:sz="0" w:space="0" w:color="auto"/>
      </w:divBdr>
    </w:div>
    <w:div w:id="2136483978">
      <w:bodyDiv w:val="1"/>
      <w:marLeft w:val="0"/>
      <w:marRight w:val="0"/>
      <w:marTop w:val="0"/>
      <w:marBottom w:val="0"/>
      <w:divBdr>
        <w:top w:val="none" w:sz="0" w:space="0" w:color="auto"/>
        <w:left w:val="none" w:sz="0" w:space="0" w:color="auto"/>
        <w:bottom w:val="none" w:sz="0" w:space="0" w:color="auto"/>
        <w:right w:val="none" w:sz="0" w:space="0" w:color="auto"/>
      </w:divBdr>
      <w:divsChild>
        <w:div w:id="1988046604">
          <w:marLeft w:val="806"/>
          <w:marRight w:val="0"/>
          <w:marTop w:val="200"/>
          <w:marBottom w:val="0"/>
          <w:divBdr>
            <w:top w:val="none" w:sz="0" w:space="0" w:color="auto"/>
            <w:left w:val="none" w:sz="0" w:space="0" w:color="auto"/>
            <w:bottom w:val="none" w:sz="0" w:space="0" w:color="auto"/>
            <w:right w:val="none" w:sz="0" w:space="0" w:color="auto"/>
          </w:divBdr>
        </w:div>
        <w:div w:id="585962421">
          <w:marLeft w:val="806"/>
          <w:marRight w:val="0"/>
          <w:marTop w:val="200"/>
          <w:marBottom w:val="0"/>
          <w:divBdr>
            <w:top w:val="none" w:sz="0" w:space="0" w:color="auto"/>
            <w:left w:val="none" w:sz="0" w:space="0" w:color="auto"/>
            <w:bottom w:val="none" w:sz="0" w:space="0" w:color="auto"/>
            <w:right w:val="none" w:sz="0" w:space="0" w:color="auto"/>
          </w:divBdr>
        </w:div>
        <w:div w:id="395468925">
          <w:marLeft w:val="806"/>
          <w:marRight w:val="0"/>
          <w:marTop w:val="200"/>
          <w:marBottom w:val="0"/>
          <w:divBdr>
            <w:top w:val="none" w:sz="0" w:space="0" w:color="auto"/>
            <w:left w:val="none" w:sz="0" w:space="0" w:color="auto"/>
            <w:bottom w:val="none" w:sz="0" w:space="0" w:color="auto"/>
            <w:right w:val="none" w:sz="0" w:space="0" w:color="auto"/>
          </w:divBdr>
        </w:div>
        <w:div w:id="1071268488">
          <w:marLeft w:val="806"/>
          <w:marRight w:val="0"/>
          <w:marTop w:val="200"/>
          <w:marBottom w:val="0"/>
          <w:divBdr>
            <w:top w:val="none" w:sz="0" w:space="0" w:color="auto"/>
            <w:left w:val="none" w:sz="0" w:space="0" w:color="auto"/>
            <w:bottom w:val="none" w:sz="0" w:space="0" w:color="auto"/>
            <w:right w:val="none" w:sz="0" w:space="0" w:color="auto"/>
          </w:divBdr>
        </w:div>
        <w:div w:id="1978295029">
          <w:marLeft w:val="806"/>
          <w:marRight w:val="0"/>
          <w:marTop w:val="200"/>
          <w:marBottom w:val="0"/>
          <w:divBdr>
            <w:top w:val="none" w:sz="0" w:space="0" w:color="auto"/>
            <w:left w:val="none" w:sz="0" w:space="0" w:color="auto"/>
            <w:bottom w:val="none" w:sz="0" w:space="0" w:color="auto"/>
            <w:right w:val="none" w:sz="0" w:space="0" w:color="auto"/>
          </w:divBdr>
        </w:div>
        <w:div w:id="1698462565">
          <w:marLeft w:val="806"/>
          <w:marRight w:val="0"/>
          <w:marTop w:val="200"/>
          <w:marBottom w:val="0"/>
          <w:divBdr>
            <w:top w:val="none" w:sz="0" w:space="0" w:color="auto"/>
            <w:left w:val="none" w:sz="0" w:space="0" w:color="auto"/>
            <w:bottom w:val="none" w:sz="0" w:space="0" w:color="auto"/>
            <w:right w:val="none" w:sz="0" w:space="0" w:color="auto"/>
          </w:divBdr>
        </w:div>
        <w:div w:id="974019504">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undocs.org/E/2018/L.16" TargetMode="External"/><Relationship Id="rId1" Type="http://schemas.openxmlformats.org/officeDocument/2006/relationships/hyperlink" Target="http://www.fao.org/europe/events/detail-events/en/c/10342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5390A-C3C6-4D14-9BFD-106704C1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Amirhossein Yarparvar</dc:creator>
  <cp:lastModifiedBy>Amirhossein Yarparvar</cp:lastModifiedBy>
  <cp:revision>7</cp:revision>
  <dcterms:created xsi:type="dcterms:W3CDTF">2019-03-05T03:38:00Z</dcterms:created>
  <dcterms:modified xsi:type="dcterms:W3CDTF">2019-03-05T03:47:00Z</dcterms:modified>
</cp:coreProperties>
</file>