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4" w:type="dxa"/>
        <w:tblInd w:w="108" w:type="dxa"/>
        <w:tblLook w:val="0000" w:firstRow="0" w:lastRow="0" w:firstColumn="0" w:lastColumn="0" w:noHBand="0" w:noVBand="0"/>
      </w:tblPr>
      <w:tblGrid>
        <w:gridCol w:w="5360"/>
        <w:gridCol w:w="257"/>
        <w:gridCol w:w="3221"/>
        <w:gridCol w:w="856"/>
      </w:tblGrid>
      <w:tr w:rsidR="00620090" w:rsidRPr="00BB4F56">
        <w:trPr>
          <w:trHeight w:val="675"/>
        </w:trPr>
        <w:tc>
          <w:tcPr>
            <w:tcW w:w="6750" w:type="dxa"/>
            <w:tcBorders>
              <w:top w:val="nil"/>
              <w:left w:val="nil"/>
              <w:bottom w:val="nil"/>
              <w:right w:val="nil"/>
            </w:tcBorders>
            <w:shd w:val="clear" w:color="auto" w:fill="auto"/>
          </w:tcPr>
          <w:p w:rsidR="00620090" w:rsidRPr="00BB4F56" w:rsidRDefault="00620090">
            <w:pPr>
              <w:rPr>
                <w:rFonts w:ascii="Verdana" w:hAnsi="Verdana" w:cs="Arial"/>
                <w:b/>
                <w:bCs/>
                <w:color w:val="000000"/>
                <w:sz w:val="26"/>
                <w:szCs w:val="26"/>
              </w:rPr>
            </w:pPr>
            <w:r w:rsidRPr="00BB4F56">
              <w:rPr>
                <w:rFonts w:ascii="Verdana" w:hAnsi="Verdana" w:cs="Arial"/>
                <w:b/>
                <w:bCs/>
                <w:color w:val="000000"/>
                <w:sz w:val="26"/>
                <w:szCs w:val="26"/>
              </w:rPr>
              <w:t xml:space="preserve">European Inland Fisheries and Aquaculture Advisory Commission (EIFAAC) </w:t>
            </w:r>
          </w:p>
        </w:tc>
        <w:tc>
          <w:tcPr>
            <w:tcW w:w="272" w:type="dxa"/>
            <w:tcBorders>
              <w:top w:val="nil"/>
              <w:left w:val="nil"/>
              <w:bottom w:val="nil"/>
              <w:right w:val="nil"/>
            </w:tcBorders>
            <w:shd w:val="clear" w:color="auto" w:fill="auto"/>
          </w:tcPr>
          <w:p w:rsidR="00620090" w:rsidRPr="00BB4F56" w:rsidRDefault="00620090" w:rsidP="006D0C61">
            <w:pPr>
              <w:ind w:left="-196" w:firstLine="196"/>
              <w:rPr>
                <w:rFonts w:ascii="Verdana" w:hAnsi="Verdana" w:cs="Arial"/>
                <w:b/>
                <w:bCs/>
                <w:color w:val="000000"/>
                <w:sz w:val="26"/>
                <w:szCs w:val="26"/>
              </w:rPr>
            </w:pPr>
          </w:p>
        </w:tc>
        <w:tc>
          <w:tcPr>
            <w:tcW w:w="1816" w:type="dxa"/>
            <w:tcBorders>
              <w:top w:val="nil"/>
              <w:left w:val="nil"/>
              <w:bottom w:val="nil"/>
              <w:right w:val="nil"/>
            </w:tcBorders>
            <w:shd w:val="clear" w:color="auto" w:fill="auto"/>
            <w:noWrap/>
            <w:vAlign w:val="bottom"/>
          </w:tcPr>
          <w:p w:rsidR="00620090" w:rsidRPr="0032050F" w:rsidRDefault="0032050F">
            <w:pPr>
              <w:rPr>
                <w:rFonts w:ascii="Arial" w:hAnsi="Arial" w:cs="Arial"/>
                <w:sz w:val="16"/>
                <w:szCs w:val="16"/>
                <w:lang w:val="en-US"/>
              </w:rPr>
            </w:pPr>
            <w:r>
              <w:rPr>
                <w:rFonts w:ascii="Arial" w:hAnsi="Arial" w:cs="Arial"/>
                <w:noProof/>
                <w:sz w:val="16"/>
                <w:szCs w:val="16"/>
                <w:lang w:val="fi-FI" w:eastAsia="fi-FI"/>
              </w:rPr>
              <w:drawing>
                <wp:inline distT="0" distB="0" distL="0" distR="0" wp14:anchorId="5F553FCA" wp14:editId="647D19E6">
                  <wp:extent cx="1908175"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554990"/>
                          </a:xfrm>
                          <a:prstGeom prst="rect">
                            <a:avLst/>
                          </a:prstGeom>
                          <a:noFill/>
                        </pic:spPr>
                      </pic:pic>
                    </a:graphicData>
                  </a:graphic>
                </wp:inline>
              </w:drawing>
            </w:r>
          </w:p>
          <w:tbl>
            <w:tblPr>
              <w:tblW w:w="0" w:type="auto"/>
              <w:tblCellSpacing w:w="0" w:type="dxa"/>
              <w:tblCellMar>
                <w:left w:w="0" w:type="dxa"/>
                <w:right w:w="0" w:type="dxa"/>
              </w:tblCellMar>
              <w:tblLook w:val="0000" w:firstRow="0" w:lastRow="0" w:firstColumn="0" w:lastColumn="0" w:noHBand="0" w:noVBand="0"/>
            </w:tblPr>
            <w:tblGrid>
              <w:gridCol w:w="1600"/>
            </w:tblGrid>
            <w:tr w:rsidR="00620090" w:rsidRPr="00BB4F56">
              <w:trPr>
                <w:trHeight w:val="675"/>
                <w:tblCellSpacing w:w="0" w:type="dxa"/>
              </w:trPr>
              <w:tc>
                <w:tcPr>
                  <w:tcW w:w="1600" w:type="dxa"/>
                  <w:tcBorders>
                    <w:top w:val="nil"/>
                    <w:left w:val="nil"/>
                    <w:bottom w:val="nil"/>
                    <w:right w:val="nil"/>
                  </w:tcBorders>
                  <w:shd w:val="clear" w:color="auto" w:fill="auto"/>
                  <w:noWrap/>
                  <w:vAlign w:val="bottom"/>
                </w:tcPr>
                <w:p w:rsidR="00620090" w:rsidRPr="00BB4F56" w:rsidRDefault="00620090">
                  <w:pPr>
                    <w:rPr>
                      <w:rFonts w:ascii="Arial" w:hAnsi="Arial" w:cs="Arial"/>
                      <w:sz w:val="16"/>
                      <w:szCs w:val="16"/>
                    </w:rPr>
                  </w:pPr>
                </w:p>
              </w:tc>
            </w:tr>
          </w:tbl>
          <w:p w:rsidR="00620090" w:rsidRPr="00BB4F56" w:rsidRDefault="00620090">
            <w:pPr>
              <w:rPr>
                <w:rFonts w:ascii="Arial" w:hAnsi="Arial" w:cs="Arial"/>
                <w:sz w:val="16"/>
                <w:szCs w:val="16"/>
              </w:rPr>
            </w:pPr>
          </w:p>
        </w:tc>
        <w:tc>
          <w:tcPr>
            <w:tcW w:w="856" w:type="dxa"/>
            <w:tcBorders>
              <w:top w:val="nil"/>
              <w:left w:val="nil"/>
              <w:bottom w:val="nil"/>
              <w:right w:val="nil"/>
            </w:tcBorders>
            <w:shd w:val="clear" w:color="auto" w:fill="auto"/>
            <w:noWrap/>
            <w:vAlign w:val="bottom"/>
          </w:tcPr>
          <w:p w:rsidR="00620090" w:rsidRPr="00BB4F56" w:rsidRDefault="00620090">
            <w:pPr>
              <w:rPr>
                <w:rFonts w:ascii="Arial" w:hAnsi="Arial" w:cs="Arial"/>
                <w:sz w:val="16"/>
                <w:szCs w:val="16"/>
              </w:rPr>
            </w:pPr>
          </w:p>
        </w:tc>
      </w:tr>
    </w:tbl>
    <w:p w:rsidR="000D6546" w:rsidRPr="00BB4F56" w:rsidRDefault="000D6546"/>
    <w:p w:rsidR="00F30893" w:rsidRPr="00BB4F56" w:rsidRDefault="00F30893" w:rsidP="00C33F1D">
      <w:pPr>
        <w:rPr>
          <w:b/>
        </w:rPr>
      </w:pPr>
    </w:p>
    <w:p w:rsidR="00F30893" w:rsidRPr="00BB4F56" w:rsidRDefault="0071731C" w:rsidP="00F30893">
      <w:pPr>
        <w:jc w:val="center"/>
        <w:rPr>
          <w:rFonts w:ascii="Times New Roman Bold" w:hAnsi="Times New Roman Bold"/>
          <w:b/>
          <w:sz w:val="26"/>
          <w:szCs w:val="26"/>
        </w:rPr>
      </w:pPr>
      <w:r w:rsidRPr="00BB4F56">
        <w:rPr>
          <w:rFonts w:ascii="Times New Roman Bold" w:hAnsi="Times New Roman Bold"/>
          <w:b/>
          <w:sz w:val="26"/>
          <w:szCs w:val="26"/>
        </w:rPr>
        <w:t xml:space="preserve">EIFAAC PROJECT </w:t>
      </w:r>
    </w:p>
    <w:p w:rsidR="00571FD9" w:rsidRPr="00BB4F56" w:rsidRDefault="00571FD9" w:rsidP="00F30893">
      <w:pPr>
        <w:jc w:val="center"/>
        <w:rPr>
          <w:rFonts w:ascii="Times New Roman Bold" w:hAnsi="Times New Roman Bold"/>
          <w:b/>
          <w:sz w:val="26"/>
          <w:szCs w:val="26"/>
        </w:rPr>
      </w:pPr>
    </w:p>
    <w:p w:rsidR="00571FD9" w:rsidRPr="00BB4F56" w:rsidRDefault="00CA38B6" w:rsidP="00A7734F">
      <w:pPr>
        <w:rPr>
          <w:rFonts w:ascii="Times New Roman Bold" w:hAnsi="Times New Roman Bold"/>
          <w:b/>
          <w:sz w:val="26"/>
          <w:szCs w:val="26"/>
        </w:rPr>
      </w:pPr>
      <w:r w:rsidRPr="00BB4F56">
        <w:rPr>
          <w:rFonts w:ascii="Times New Roman Bold" w:hAnsi="Times New Roman Bold"/>
          <w:b/>
          <w:sz w:val="26"/>
          <w:szCs w:val="26"/>
        </w:rPr>
        <w:t>TITLE</w:t>
      </w:r>
      <w:r w:rsidR="00E363A2">
        <w:rPr>
          <w:rStyle w:val="FootnoteReference"/>
          <w:rFonts w:ascii="Times New Roman Bold" w:hAnsi="Times New Roman Bold"/>
          <w:b/>
          <w:sz w:val="26"/>
          <w:szCs w:val="26"/>
        </w:rPr>
        <w:footnoteReference w:id="1"/>
      </w:r>
      <w:r w:rsidR="00571FD9" w:rsidRPr="00BB4F56">
        <w:rPr>
          <w:rFonts w:ascii="Times New Roman Bold" w:hAnsi="Times New Roman Bold"/>
          <w:b/>
          <w:sz w:val="26"/>
          <w:szCs w:val="26"/>
        </w:rPr>
        <w:t>:</w:t>
      </w:r>
      <w:r w:rsidR="00875D27">
        <w:rPr>
          <w:rFonts w:ascii="Times New Roman Bold" w:hAnsi="Times New Roman Bold"/>
          <w:b/>
          <w:sz w:val="26"/>
          <w:szCs w:val="26"/>
        </w:rPr>
        <w:t xml:space="preserve">  </w:t>
      </w:r>
      <w:r w:rsidR="00130742">
        <w:rPr>
          <w:rFonts w:ascii="Times New Roman Bold" w:hAnsi="Times New Roman Bold"/>
          <w:b/>
          <w:sz w:val="26"/>
          <w:szCs w:val="26"/>
        </w:rPr>
        <w:t>“</w:t>
      </w:r>
      <w:bookmarkStart w:id="0" w:name="_GoBack"/>
      <w:r w:rsidR="009A20C1" w:rsidRPr="009A20C1">
        <w:rPr>
          <w:rFonts w:ascii="Times New Roman Bold" w:hAnsi="Times New Roman Bold"/>
          <w:b/>
          <w:sz w:val="26"/>
          <w:szCs w:val="26"/>
        </w:rPr>
        <w:t>Joint EIFAAC/ICES/GFCM Working Group on Eel (WGEEL</w:t>
      </w:r>
      <w:bookmarkEnd w:id="0"/>
      <w:r w:rsidR="009A20C1" w:rsidRPr="009A20C1">
        <w:rPr>
          <w:rFonts w:ascii="Times New Roman Bold" w:hAnsi="Times New Roman Bold"/>
          <w:b/>
          <w:sz w:val="26"/>
          <w:szCs w:val="26"/>
        </w:rPr>
        <w:t>)”</w:t>
      </w:r>
    </w:p>
    <w:p w:rsidR="00F30893" w:rsidRPr="00BB4F56" w:rsidRDefault="00F30893" w:rsidP="00F30893">
      <w:pPr>
        <w:jc w:val="center"/>
        <w:rPr>
          <w:b/>
        </w:rPr>
      </w:pPr>
    </w:p>
    <w:tbl>
      <w:tblPr>
        <w:tblW w:w="958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369"/>
        <w:gridCol w:w="2849"/>
        <w:gridCol w:w="3369"/>
      </w:tblGrid>
      <w:tr w:rsidR="00F30893" w:rsidRPr="00BB4F56">
        <w:trPr>
          <w:jc w:val="center"/>
        </w:trPr>
        <w:tc>
          <w:tcPr>
            <w:tcW w:w="9587" w:type="dxa"/>
            <w:gridSpan w:val="3"/>
            <w:tcBorders>
              <w:top w:val="double" w:sz="6" w:space="0" w:color="000000"/>
              <w:bottom w:val="single" w:sz="6" w:space="0" w:color="000000"/>
            </w:tcBorders>
            <w:shd w:val="clear" w:color="auto" w:fill="D9D9D9"/>
          </w:tcPr>
          <w:p w:rsidR="00F30893" w:rsidRPr="00BB4F56" w:rsidRDefault="00F30893" w:rsidP="00F30893">
            <w:pPr>
              <w:jc w:val="center"/>
              <w:rPr>
                <w:b/>
              </w:rPr>
            </w:pPr>
            <w:r w:rsidRPr="00BB4F56">
              <w:rPr>
                <w:b/>
              </w:rPr>
              <w:t>PRELIMINARY</w:t>
            </w:r>
          </w:p>
        </w:tc>
      </w:tr>
      <w:tr w:rsidR="00F30893" w:rsidRPr="00BB4F56">
        <w:trPr>
          <w:jc w:val="center"/>
        </w:trPr>
        <w:tc>
          <w:tcPr>
            <w:tcW w:w="3369" w:type="dxa"/>
            <w:tcBorders>
              <w:top w:val="single" w:sz="6" w:space="0" w:color="000000"/>
            </w:tcBorders>
            <w:shd w:val="clear" w:color="auto" w:fill="auto"/>
          </w:tcPr>
          <w:p w:rsidR="00F30893" w:rsidRPr="00BB4F56" w:rsidRDefault="00F30893" w:rsidP="00F30893">
            <w:pPr>
              <w:rPr>
                <w:b/>
              </w:rPr>
            </w:pPr>
            <w:r w:rsidRPr="00BB4F56">
              <w:rPr>
                <w:b/>
              </w:rPr>
              <w:t>a.  Owner</w:t>
            </w:r>
          </w:p>
        </w:tc>
        <w:tc>
          <w:tcPr>
            <w:tcW w:w="6218" w:type="dxa"/>
            <w:gridSpan w:val="2"/>
            <w:tcBorders>
              <w:top w:val="single" w:sz="6" w:space="0" w:color="000000"/>
            </w:tcBorders>
            <w:shd w:val="clear" w:color="auto" w:fill="auto"/>
          </w:tcPr>
          <w:p w:rsidR="00F30893" w:rsidRPr="00BB4F56" w:rsidRDefault="004168DD" w:rsidP="00F30893">
            <w:r>
              <w:t>EIFAAC</w:t>
            </w:r>
            <w:r w:rsidR="009A20C1">
              <w:t>, ICES, GFCM</w:t>
            </w:r>
          </w:p>
        </w:tc>
      </w:tr>
      <w:tr w:rsidR="00F30893" w:rsidRPr="00BB4F56">
        <w:trPr>
          <w:jc w:val="center"/>
        </w:trPr>
        <w:tc>
          <w:tcPr>
            <w:tcW w:w="3369" w:type="dxa"/>
            <w:shd w:val="clear" w:color="auto" w:fill="auto"/>
          </w:tcPr>
          <w:p w:rsidR="00F30893" w:rsidRPr="00BB4F56" w:rsidRDefault="00F30893" w:rsidP="00F30893">
            <w:pPr>
              <w:rPr>
                <w:b/>
              </w:rPr>
            </w:pPr>
            <w:r w:rsidRPr="00BB4F56">
              <w:rPr>
                <w:b/>
              </w:rPr>
              <w:t>b.  Role of  EIFAAC</w:t>
            </w:r>
            <w:r w:rsidR="00E363A2">
              <w:rPr>
                <w:rStyle w:val="FootnoteReference"/>
                <w:b/>
              </w:rPr>
              <w:footnoteReference w:id="2"/>
            </w:r>
          </w:p>
        </w:tc>
        <w:tc>
          <w:tcPr>
            <w:tcW w:w="6218" w:type="dxa"/>
            <w:gridSpan w:val="2"/>
            <w:shd w:val="clear" w:color="auto" w:fill="auto"/>
          </w:tcPr>
          <w:p w:rsidR="009A20C1" w:rsidRDefault="009A20C1" w:rsidP="009A20C1">
            <w:r>
              <w:t>Covers inland waters, fisheries and aquaculture of member countries of EIFAAC, including Mediterranean countries, not covered by ICES.  EIFAAC brings expertise and specific issues to the Working Group relating to the inland water phases of eel.  EIFAAC and FAO have the structure and experience to disseminate advice and information to a wide audience of scientists, managers and stakeholders.  This it will achieve through the EIFAAC Technical and Scientific Committee.</w:t>
            </w:r>
          </w:p>
          <w:p w:rsidR="00F30893" w:rsidRPr="00BB4F56" w:rsidRDefault="00F30893" w:rsidP="009A20C1"/>
        </w:tc>
      </w:tr>
      <w:tr w:rsidR="00F30893" w:rsidRPr="00BB4F56">
        <w:trPr>
          <w:jc w:val="center"/>
        </w:trPr>
        <w:tc>
          <w:tcPr>
            <w:tcW w:w="9587" w:type="dxa"/>
            <w:gridSpan w:val="3"/>
            <w:tcBorders>
              <w:top w:val="single" w:sz="6" w:space="0" w:color="000000"/>
              <w:bottom w:val="single" w:sz="6" w:space="0" w:color="000000"/>
            </w:tcBorders>
            <w:shd w:val="clear" w:color="auto" w:fill="D9D9D9"/>
          </w:tcPr>
          <w:p w:rsidR="00F30893" w:rsidRPr="00BB4F56" w:rsidRDefault="00F30893" w:rsidP="00F30893">
            <w:pPr>
              <w:jc w:val="center"/>
              <w:rPr>
                <w:b/>
              </w:rPr>
            </w:pPr>
            <w:r w:rsidRPr="00BB4F56">
              <w:rPr>
                <w:b/>
              </w:rPr>
              <w:t xml:space="preserve">1.  OBJECTIVE </w:t>
            </w:r>
            <w:smartTag w:uri="urn:schemas-microsoft-com:office:smarttags" w:element="stockticker">
              <w:r w:rsidRPr="00BB4F56">
                <w:rPr>
                  <w:b/>
                </w:rPr>
                <w:t>AND</w:t>
              </w:r>
            </w:smartTag>
            <w:r w:rsidRPr="00BB4F56">
              <w:rPr>
                <w:b/>
              </w:rPr>
              <w:t xml:space="preserve"> EXPECTED OUTCOME</w:t>
            </w:r>
          </w:p>
          <w:p w:rsidR="00A55306" w:rsidRPr="000E56DB" w:rsidRDefault="00A55306" w:rsidP="00F30893">
            <w:pPr>
              <w:jc w:val="center"/>
              <w:rPr>
                <w:b/>
                <w:color w:val="FF0000"/>
              </w:rPr>
            </w:pPr>
          </w:p>
        </w:tc>
      </w:tr>
      <w:tr w:rsidR="00F30893" w:rsidRPr="00BB4F56">
        <w:trPr>
          <w:jc w:val="center"/>
        </w:trPr>
        <w:tc>
          <w:tcPr>
            <w:tcW w:w="3369" w:type="dxa"/>
            <w:tcBorders>
              <w:top w:val="single" w:sz="6" w:space="0" w:color="000000"/>
            </w:tcBorders>
            <w:shd w:val="clear" w:color="auto" w:fill="auto"/>
            <w:vAlign w:val="center"/>
          </w:tcPr>
          <w:p w:rsidR="00F30893" w:rsidRPr="00BB4F56" w:rsidRDefault="00F30893" w:rsidP="00F30893">
            <w:pPr>
              <w:rPr>
                <w:b/>
              </w:rPr>
            </w:pPr>
            <w:r w:rsidRPr="00BB4F56">
              <w:rPr>
                <w:b/>
              </w:rPr>
              <w:t>1.1</w:t>
            </w:r>
            <w:r w:rsidRPr="00BB4F56">
              <w:rPr>
                <w:b/>
              </w:rPr>
              <w:tab/>
              <w:t>Purpose</w:t>
            </w:r>
          </w:p>
        </w:tc>
        <w:tc>
          <w:tcPr>
            <w:tcW w:w="6218" w:type="dxa"/>
            <w:gridSpan w:val="2"/>
            <w:tcBorders>
              <w:top w:val="single" w:sz="6" w:space="0" w:color="000000"/>
            </w:tcBorders>
            <w:shd w:val="clear" w:color="auto" w:fill="auto"/>
          </w:tcPr>
          <w:p w:rsidR="00F30893" w:rsidRPr="00BB4F56" w:rsidRDefault="009A20C1" w:rsidP="00F30893">
            <w:r w:rsidRPr="009A20C1">
              <w:rPr>
                <w:color w:val="1F497D"/>
              </w:rPr>
              <w:t>To report on the status of the European and American eel stocks and to provide technical and scientific advice in support of the development and implementation of the EU Regulation for the recovery of the eel stock.  To provide regular updates on the latest advances in eel stock assessment and science and to develop a means of post-evaluating the outcome of implemented management actions on the whole stock.</w:t>
            </w:r>
          </w:p>
        </w:tc>
      </w:tr>
      <w:tr w:rsidR="00BA00BE" w:rsidRPr="00BB4F56">
        <w:trPr>
          <w:jc w:val="center"/>
        </w:trPr>
        <w:tc>
          <w:tcPr>
            <w:tcW w:w="3369" w:type="dxa"/>
            <w:tcBorders>
              <w:top w:val="single" w:sz="6" w:space="0" w:color="000000"/>
            </w:tcBorders>
            <w:shd w:val="clear" w:color="auto" w:fill="auto"/>
            <w:vAlign w:val="center"/>
          </w:tcPr>
          <w:p w:rsidR="00BA00BE" w:rsidRDefault="00BA00BE" w:rsidP="00F30893">
            <w:pPr>
              <w:rPr>
                <w:b/>
              </w:rPr>
            </w:pPr>
            <w:r w:rsidRPr="00BB4F56">
              <w:rPr>
                <w:b/>
              </w:rPr>
              <w:t>1.2</w:t>
            </w:r>
            <w:r w:rsidR="00C51D76" w:rsidRPr="00BB4F56">
              <w:rPr>
                <w:b/>
              </w:rPr>
              <w:t xml:space="preserve">       Objective</w:t>
            </w:r>
            <w:r w:rsidR="00ED2FD0">
              <w:rPr>
                <w:b/>
              </w:rPr>
              <w:t>s</w:t>
            </w:r>
            <w:r w:rsidR="00C51D76" w:rsidRPr="00BB4F56">
              <w:rPr>
                <w:rStyle w:val="FootnoteReference"/>
              </w:rPr>
              <w:footnoteReference w:id="3"/>
            </w:r>
          </w:p>
          <w:p w:rsidR="004168DD" w:rsidRPr="00BB4F56" w:rsidRDefault="004168DD" w:rsidP="00F30893">
            <w:pPr>
              <w:rPr>
                <w:b/>
              </w:rPr>
            </w:pPr>
          </w:p>
        </w:tc>
        <w:tc>
          <w:tcPr>
            <w:tcW w:w="6218" w:type="dxa"/>
            <w:gridSpan w:val="2"/>
            <w:tcBorders>
              <w:top w:val="single" w:sz="6" w:space="0" w:color="000000"/>
            </w:tcBorders>
            <w:shd w:val="clear" w:color="auto" w:fill="auto"/>
          </w:tcPr>
          <w:p w:rsidR="009A20C1" w:rsidRDefault="009A20C1" w:rsidP="009A20C1">
            <w:pPr>
              <w:jc w:val="both"/>
            </w:pPr>
          </w:p>
          <w:p w:rsidR="00BA00BE" w:rsidRPr="00BF3BE9" w:rsidRDefault="009A20C1" w:rsidP="009A20C1">
            <w:pPr>
              <w:jc w:val="both"/>
            </w:pPr>
            <w:r>
              <w:t xml:space="preserve">There is a new co-ordination role required between EIFAAC, ICES and GFCM to cover the Mediterranean and North African area. The Working Group on Eel is a joint Expert Scientific Working Group between EIFAAC and ICES.  There is liaison with the First EIFAAC/ICES/GFCM Workshop on Eel and the ICES/HELCOM Baltic Workshops on Eel. From 2014, the GFCM (General Fisheries Commission for the Mediterranean) is operating on a joint </w:t>
            </w:r>
            <w:r>
              <w:lastRenderedPageBreak/>
              <w:t>basis with EIFAAC and ICES on European Eel.</w:t>
            </w:r>
            <w:r w:rsidRPr="00BF3BE9">
              <w:t xml:space="preserve"> </w:t>
            </w:r>
          </w:p>
        </w:tc>
      </w:tr>
      <w:tr w:rsidR="00F30893" w:rsidRPr="00BB4F56">
        <w:trPr>
          <w:jc w:val="center"/>
        </w:trPr>
        <w:tc>
          <w:tcPr>
            <w:tcW w:w="3369" w:type="dxa"/>
            <w:shd w:val="clear" w:color="auto" w:fill="auto"/>
            <w:vAlign w:val="center"/>
          </w:tcPr>
          <w:p w:rsidR="00F30893" w:rsidRPr="00BB4F56" w:rsidRDefault="00F30893" w:rsidP="00F30893">
            <w:pPr>
              <w:rPr>
                <w:b/>
              </w:rPr>
            </w:pPr>
            <w:r w:rsidRPr="00BB4F56">
              <w:rPr>
                <w:b/>
              </w:rPr>
              <w:lastRenderedPageBreak/>
              <w:t>1.</w:t>
            </w:r>
            <w:r w:rsidR="00BA00BE" w:rsidRPr="00BB4F56">
              <w:rPr>
                <w:b/>
              </w:rPr>
              <w:t>3</w:t>
            </w:r>
            <w:r w:rsidRPr="00BB4F56">
              <w:rPr>
                <w:b/>
              </w:rPr>
              <w:t xml:space="preserve"> </w:t>
            </w:r>
            <w:r w:rsidRPr="00BB4F56">
              <w:rPr>
                <w:b/>
              </w:rPr>
              <w:tab/>
              <w:t>Rationale</w:t>
            </w:r>
            <w:r w:rsidRPr="00BB4F56">
              <w:rPr>
                <w:rStyle w:val="FootnoteReference"/>
              </w:rPr>
              <w:footnoteReference w:id="4"/>
            </w:r>
          </w:p>
        </w:tc>
        <w:tc>
          <w:tcPr>
            <w:tcW w:w="6218" w:type="dxa"/>
            <w:gridSpan w:val="2"/>
            <w:shd w:val="clear" w:color="auto" w:fill="auto"/>
          </w:tcPr>
          <w:p w:rsidR="00F30893" w:rsidRPr="00215D54" w:rsidRDefault="009A20C1" w:rsidP="00486DAB">
            <w:pPr>
              <w:jc w:val="both"/>
            </w:pPr>
            <w:r w:rsidRPr="009A20C1">
              <w:t xml:space="preserve">The eel stock is in decline, recruitment is at an </w:t>
            </w:r>
            <w:proofErr w:type="spellStart"/>
            <w:r w:rsidRPr="009A20C1">
              <w:t>all time</w:t>
            </w:r>
            <w:proofErr w:type="spellEnd"/>
            <w:r w:rsidRPr="009A20C1">
              <w:t xml:space="preserve"> low and exploitation of the stock is currently unsustainable.  ICES have advised that anthropogenic mortality should be reduced to as close to zero as possible and the EU have implemented a Regulation for the recovery of the stock.  The EU Regulation requires Member States to put in place approved eel management plans and to monitor their implementation and outcomes. Eel has been listed as critically endangered by IUCN and as an Annex II species in CITES.  The WGEEL brings together national and key agency scientists to provide the latest advice on the status of the stock, a framework for post-evaluation of the outcome of management actions and implementation of the Regulation, technical support to MSs for local assessments and eel management and updates on the latest developments in eel science pertinent to the objectives.  The WGEEL is now listed in the EU DCF as an international expert group providing the basis for scientific advice and supported by DCF funding (DCF provides funds for nominated national participants to attend Expert Stock Assessment Groups).</w:t>
            </w:r>
          </w:p>
        </w:tc>
      </w:tr>
      <w:tr w:rsidR="00F30893" w:rsidRPr="00BB4F56">
        <w:trPr>
          <w:jc w:val="center"/>
        </w:trPr>
        <w:tc>
          <w:tcPr>
            <w:tcW w:w="3369" w:type="dxa"/>
            <w:tcBorders>
              <w:bottom w:val="single" w:sz="6" w:space="0" w:color="000000"/>
            </w:tcBorders>
            <w:shd w:val="clear" w:color="auto" w:fill="auto"/>
            <w:vAlign w:val="center"/>
          </w:tcPr>
          <w:p w:rsidR="00F30893" w:rsidRPr="00BB4F56" w:rsidRDefault="00F30893" w:rsidP="00F30893">
            <w:pPr>
              <w:rPr>
                <w:b/>
              </w:rPr>
            </w:pPr>
            <w:r w:rsidRPr="00BB4F56">
              <w:rPr>
                <w:b/>
              </w:rPr>
              <w:t>1.</w:t>
            </w:r>
            <w:r w:rsidR="00BA00BE" w:rsidRPr="00BB4F56">
              <w:rPr>
                <w:b/>
              </w:rPr>
              <w:t>4</w:t>
            </w:r>
            <w:r w:rsidRPr="00BB4F56">
              <w:rPr>
                <w:b/>
              </w:rPr>
              <w:t xml:space="preserve"> </w:t>
            </w:r>
            <w:r w:rsidRPr="00BB4F56">
              <w:rPr>
                <w:b/>
              </w:rPr>
              <w:tab/>
              <w:t>Benefits</w:t>
            </w:r>
          </w:p>
        </w:tc>
        <w:tc>
          <w:tcPr>
            <w:tcW w:w="6218" w:type="dxa"/>
            <w:gridSpan w:val="2"/>
            <w:tcBorders>
              <w:bottom w:val="single" w:sz="6" w:space="0" w:color="000000"/>
            </w:tcBorders>
            <w:shd w:val="clear" w:color="auto" w:fill="auto"/>
          </w:tcPr>
          <w:p w:rsidR="009A20C1" w:rsidRDefault="009A20C1" w:rsidP="009A20C1">
            <w:r>
              <w:t>Annual stock assessment and observation on the status of the stock, including recruitment trends</w:t>
            </w:r>
          </w:p>
          <w:p w:rsidR="009A20C1" w:rsidRDefault="009A20C1" w:rsidP="009A20C1">
            <w:r>
              <w:t>Local stock assessment methodologies</w:t>
            </w:r>
          </w:p>
          <w:p w:rsidR="009A20C1" w:rsidRDefault="009A20C1" w:rsidP="009A20C1">
            <w:r>
              <w:t>Up to date (annual) best available scientific advice under ICES /EU Memorandum of Understanding</w:t>
            </w:r>
          </w:p>
          <w:p w:rsidR="009A20C1" w:rsidRDefault="009A20C1" w:rsidP="009A20C1">
            <w:r>
              <w:t>Scientific support to the EU Regulation for the Recovery of the Eel Stock</w:t>
            </w:r>
          </w:p>
          <w:p w:rsidR="009A20C1" w:rsidRDefault="009A20C1" w:rsidP="009A20C1">
            <w:r>
              <w:t>Scientific support for the EU determination of non-detriment findings for the trade of eel  with respect to CITES listings</w:t>
            </w:r>
          </w:p>
          <w:p w:rsidR="001255B5" w:rsidRPr="00BB4F56" w:rsidRDefault="009A20C1" w:rsidP="009A20C1">
            <w:pPr>
              <w:rPr>
                <w:color w:val="1F497D"/>
              </w:rPr>
            </w:pPr>
            <w:r>
              <w:t>Network of key eel scientists covering the north Atlantic, Baltic, Mediterranean areas and close links with Asian and Australasian scientists</w:t>
            </w:r>
          </w:p>
        </w:tc>
      </w:tr>
      <w:tr w:rsidR="00F30893" w:rsidRPr="00BB4F56">
        <w:trPr>
          <w:jc w:val="center"/>
        </w:trPr>
        <w:tc>
          <w:tcPr>
            <w:tcW w:w="9587" w:type="dxa"/>
            <w:gridSpan w:val="3"/>
            <w:tcBorders>
              <w:top w:val="single" w:sz="6" w:space="0" w:color="000000"/>
              <w:bottom w:val="single" w:sz="6" w:space="0" w:color="000000"/>
            </w:tcBorders>
            <w:shd w:val="clear" w:color="auto" w:fill="D9D9D9"/>
          </w:tcPr>
          <w:p w:rsidR="00F30893" w:rsidRPr="00BB4F56" w:rsidRDefault="008375B4" w:rsidP="00F30893">
            <w:pPr>
              <w:jc w:val="center"/>
              <w:rPr>
                <w:b/>
              </w:rPr>
            </w:pPr>
            <w:r w:rsidRPr="00BB4F56">
              <w:rPr>
                <w:b/>
              </w:rPr>
              <w:t xml:space="preserve">2.  </w:t>
            </w:r>
            <w:r w:rsidR="00F30893" w:rsidRPr="00BB4F56">
              <w:rPr>
                <w:b/>
              </w:rPr>
              <w:t>PROJECT MANAGEMENT</w:t>
            </w:r>
          </w:p>
        </w:tc>
      </w:tr>
      <w:tr w:rsidR="00F30893" w:rsidRPr="00BB4F56">
        <w:trPr>
          <w:trHeight w:val="763"/>
          <w:jc w:val="center"/>
        </w:trPr>
        <w:tc>
          <w:tcPr>
            <w:tcW w:w="3369" w:type="dxa"/>
            <w:tcBorders>
              <w:top w:val="single" w:sz="6" w:space="0" w:color="000000"/>
              <w:bottom w:val="single" w:sz="6" w:space="0" w:color="000000"/>
            </w:tcBorders>
            <w:shd w:val="clear" w:color="auto" w:fill="auto"/>
            <w:vAlign w:val="center"/>
          </w:tcPr>
          <w:p w:rsidR="00F30893" w:rsidRPr="00BB4F56" w:rsidRDefault="00F30893" w:rsidP="00F30893">
            <w:pPr>
              <w:rPr>
                <w:b/>
              </w:rPr>
            </w:pPr>
            <w:r w:rsidRPr="00BB4F56">
              <w:rPr>
                <w:b/>
              </w:rPr>
              <w:t>2.</w:t>
            </w:r>
            <w:r w:rsidR="00490171" w:rsidRPr="00BB4F56">
              <w:rPr>
                <w:b/>
              </w:rPr>
              <w:t>1</w:t>
            </w:r>
            <w:r w:rsidRPr="00BB4F56">
              <w:rPr>
                <w:b/>
              </w:rPr>
              <w:t xml:space="preserve">  Project Manager or Chair  </w:t>
            </w:r>
          </w:p>
        </w:tc>
        <w:tc>
          <w:tcPr>
            <w:tcW w:w="6218" w:type="dxa"/>
            <w:gridSpan w:val="2"/>
            <w:tcBorders>
              <w:top w:val="single" w:sz="6" w:space="0" w:color="000000"/>
              <w:bottom w:val="single" w:sz="4" w:space="0" w:color="auto"/>
            </w:tcBorders>
            <w:shd w:val="clear" w:color="auto" w:fill="auto"/>
          </w:tcPr>
          <w:p w:rsidR="00F30893" w:rsidRPr="00BB4F56" w:rsidRDefault="00F30893" w:rsidP="00F30893"/>
          <w:p w:rsidR="00F30893" w:rsidRPr="00BB4F56" w:rsidRDefault="009A20C1" w:rsidP="00F30893">
            <w:r w:rsidRPr="009A20C1">
              <w:t>Alan Walker (United Kingdom)</w:t>
            </w:r>
          </w:p>
        </w:tc>
      </w:tr>
      <w:tr w:rsidR="00F30893" w:rsidRPr="00BB4F56">
        <w:trPr>
          <w:trHeight w:val="763"/>
          <w:jc w:val="center"/>
        </w:trPr>
        <w:tc>
          <w:tcPr>
            <w:tcW w:w="3369" w:type="dxa"/>
            <w:tcBorders>
              <w:top w:val="nil"/>
              <w:bottom w:val="single" w:sz="6" w:space="0" w:color="000000"/>
            </w:tcBorders>
            <w:shd w:val="clear" w:color="auto" w:fill="auto"/>
            <w:vAlign w:val="center"/>
          </w:tcPr>
          <w:p w:rsidR="00F30893" w:rsidRPr="00BB4F56" w:rsidRDefault="005C7360" w:rsidP="00F30893">
            <w:pPr>
              <w:ind w:left="993" w:hanging="567"/>
            </w:pPr>
            <w:r w:rsidRPr="00BB4F56">
              <w:t>2.1</w:t>
            </w:r>
            <w:r w:rsidR="00F30893" w:rsidRPr="00BB4F56">
              <w:t>.1  Management responsibilities</w:t>
            </w:r>
            <w:r w:rsidR="00F30893" w:rsidRPr="00BB4F56">
              <w:rPr>
                <w:rStyle w:val="FootnoteReference"/>
              </w:rPr>
              <w:footnoteReference w:id="5"/>
            </w:r>
          </w:p>
        </w:tc>
        <w:tc>
          <w:tcPr>
            <w:tcW w:w="6218" w:type="dxa"/>
            <w:gridSpan w:val="2"/>
            <w:tcBorders>
              <w:top w:val="nil"/>
              <w:bottom w:val="single" w:sz="6" w:space="0" w:color="000000"/>
            </w:tcBorders>
            <w:shd w:val="clear" w:color="auto" w:fill="auto"/>
          </w:tcPr>
          <w:p w:rsidR="009A20C1" w:rsidRDefault="009A20C1" w:rsidP="009A20C1">
            <w:r>
              <w:t>Chair the WGEEL</w:t>
            </w:r>
          </w:p>
          <w:p w:rsidR="009A20C1" w:rsidRDefault="009A20C1" w:rsidP="009A20C1">
            <w:r>
              <w:t xml:space="preserve">Report </w:t>
            </w:r>
            <w:proofErr w:type="gramStart"/>
            <w:r>
              <w:t>to  EIFAAC</w:t>
            </w:r>
            <w:proofErr w:type="gramEnd"/>
            <w:r>
              <w:t xml:space="preserve"> TSC, ICES ACOM, WGRECORDS, RG/ADG, SCICOM Groups.</w:t>
            </w:r>
          </w:p>
          <w:p w:rsidR="00F30893" w:rsidRPr="00BB4F56" w:rsidRDefault="009A20C1" w:rsidP="009A20C1">
            <w:r>
              <w:t xml:space="preserve">Set the meeting Agenda and </w:t>
            </w:r>
            <w:proofErr w:type="spellStart"/>
            <w:r>
              <w:t>workplan</w:t>
            </w:r>
            <w:proofErr w:type="spellEnd"/>
            <w:r>
              <w:t>, co-ordinate the Country Reports and the running of the meeting, edit report, edit draft advice. Provide support to the Review Groups and Advice Drafting Groups where appropriate.</w:t>
            </w:r>
          </w:p>
        </w:tc>
      </w:tr>
      <w:tr w:rsidR="00F30893" w:rsidRPr="00BB4F56">
        <w:trPr>
          <w:trHeight w:val="269"/>
          <w:jc w:val="center"/>
        </w:trPr>
        <w:tc>
          <w:tcPr>
            <w:tcW w:w="3369" w:type="dxa"/>
            <w:tcBorders>
              <w:top w:val="nil"/>
              <w:bottom w:val="single" w:sz="6" w:space="0" w:color="000000"/>
            </w:tcBorders>
            <w:shd w:val="clear" w:color="auto" w:fill="auto"/>
            <w:vAlign w:val="center"/>
          </w:tcPr>
          <w:p w:rsidR="00F30893" w:rsidRPr="00BB4F56" w:rsidRDefault="00F64C21" w:rsidP="00F30893">
            <w:r w:rsidRPr="00BB4F56">
              <w:rPr>
                <w:b/>
              </w:rPr>
              <w:t>2.2</w:t>
            </w:r>
            <w:r w:rsidR="00F30893" w:rsidRPr="00BB4F56">
              <w:rPr>
                <w:b/>
              </w:rPr>
              <w:t xml:space="preserve">  Participants</w:t>
            </w:r>
            <w:r w:rsidR="00F30893" w:rsidRPr="00BB4F56">
              <w:rPr>
                <w:rStyle w:val="FootnoteReference"/>
              </w:rPr>
              <w:footnoteReference w:id="6"/>
            </w:r>
            <w:r w:rsidR="007A2117" w:rsidRPr="00BB4F56">
              <w:rPr>
                <w:b/>
              </w:rPr>
              <w:t xml:space="preserve"> and stakeholders</w:t>
            </w:r>
          </w:p>
        </w:tc>
        <w:tc>
          <w:tcPr>
            <w:tcW w:w="6218" w:type="dxa"/>
            <w:gridSpan w:val="2"/>
            <w:tcBorders>
              <w:top w:val="single" w:sz="6" w:space="0" w:color="000000"/>
              <w:bottom w:val="single" w:sz="6" w:space="0" w:color="000000"/>
            </w:tcBorders>
            <w:shd w:val="thinReverseDiagStripe" w:color="auto" w:fill="auto"/>
          </w:tcPr>
          <w:p w:rsidR="009A20C1" w:rsidRDefault="009A20C1" w:rsidP="009A20C1">
            <w:pPr>
              <w:pStyle w:val="FootnoteText"/>
            </w:pPr>
            <w:r>
              <w:t>Scientific Experts</w:t>
            </w:r>
            <w:r>
              <w:tab/>
              <w:t>ICES National Nominations</w:t>
            </w:r>
          </w:p>
          <w:p w:rsidR="009A20C1" w:rsidRDefault="009A20C1" w:rsidP="009A20C1">
            <w:pPr>
              <w:pStyle w:val="FootnoteText"/>
            </w:pPr>
            <w:r>
              <w:tab/>
              <w:t>DCF Government Nominations</w:t>
            </w:r>
          </w:p>
          <w:p w:rsidR="009A20C1" w:rsidRDefault="009A20C1" w:rsidP="009A20C1">
            <w:pPr>
              <w:pStyle w:val="FootnoteText"/>
            </w:pPr>
            <w:r>
              <w:lastRenderedPageBreak/>
              <w:tab/>
              <w:t>EIFAAC Participants</w:t>
            </w:r>
          </w:p>
          <w:p w:rsidR="009A20C1" w:rsidRDefault="009A20C1" w:rsidP="009A20C1">
            <w:pPr>
              <w:pStyle w:val="FootnoteText"/>
            </w:pPr>
            <w:r>
              <w:tab/>
              <w:t>GFCM Participants</w:t>
            </w:r>
          </w:p>
          <w:p w:rsidR="00F30893" w:rsidRPr="00BB4F56" w:rsidRDefault="009A20C1" w:rsidP="009A20C1">
            <w:pPr>
              <w:pStyle w:val="FootnoteText"/>
            </w:pPr>
            <w:r>
              <w:tab/>
              <w:t>Invited Experts</w:t>
            </w:r>
          </w:p>
        </w:tc>
      </w:tr>
      <w:tr w:rsidR="008067B2" w:rsidRPr="00BB4F56">
        <w:trPr>
          <w:gridAfter w:val="1"/>
          <w:wAfter w:w="3369" w:type="dxa"/>
          <w:trHeight w:val="269"/>
          <w:jc w:val="center"/>
        </w:trPr>
        <w:tc>
          <w:tcPr>
            <w:tcW w:w="6218" w:type="dxa"/>
            <w:gridSpan w:val="2"/>
            <w:tcBorders>
              <w:top w:val="single" w:sz="6" w:space="0" w:color="000000"/>
              <w:bottom w:val="single" w:sz="6" w:space="0" w:color="000000"/>
            </w:tcBorders>
            <w:shd w:val="thinReverseDiagStripe" w:color="auto" w:fill="auto"/>
          </w:tcPr>
          <w:p w:rsidR="008067B2" w:rsidRPr="00BB4F56" w:rsidRDefault="008067B2" w:rsidP="00F30893"/>
        </w:tc>
      </w:tr>
      <w:tr w:rsidR="00F30893" w:rsidRPr="00BB4F56">
        <w:trPr>
          <w:trHeight w:val="763"/>
          <w:jc w:val="center"/>
        </w:trPr>
        <w:tc>
          <w:tcPr>
            <w:tcW w:w="3369" w:type="dxa"/>
            <w:tcBorders>
              <w:top w:val="single" w:sz="6" w:space="0" w:color="000000"/>
            </w:tcBorders>
            <w:shd w:val="clear" w:color="auto" w:fill="auto"/>
            <w:vAlign w:val="center"/>
          </w:tcPr>
          <w:p w:rsidR="00F30893" w:rsidRPr="00BB4F56" w:rsidRDefault="00D62B7D" w:rsidP="00E363A2">
            <w:pPr>
              <w:ind w:left="426"/>
            </w:pPr>
            <w:r w:rsidRPr="00BB4F56">
              <w:t>2.2</w:t>
            </w:r>
            <w:r w:rsidR="00F30893" w:rsidRPr="00BB4F56">
              <w:t>.1 Identify</w:t>
            </w:r>
            <w:r w:rsidR="00DD186E" w:rsidRPr="00BB4F56">
              <w:t xml:space="preserve"> potential</w:t>
            </w:r>
            <w:r w:rsidR="00B15C89" w:rsidRPr="00BB4F56">
              <w:t xml:space="preserve"> participants</w:t>
            </w:r>
          </w:p>
        </w:tc>
        <w:tc>
          <w:tcPr>
            <w:tcW w:w="6218" w:type="dxa"/>
            <w:gridSpan w:val="2"/>
            <w:tcBorders>
              <w:top w:val="single" w:sz="6" w:space="0" w:color="000000"/>
            </w:tcBorders>
            <w:shd w:val="clear" w:color="auto" w:fill="auto"/>
          </w:tcPr>
          <w:p w:rsidR="009A20C1" w:rsidRDefault="009A20C1" w:rsidP="009A20C1">
            <w:r>
              <w:t>Scientists, data providers</w:t>
            </w:r>
          </w:p>
          <w:p w:rsidR="00F30893" w:rsidRPr="00BB4F56" w:rsidRDefault="009A20C1" w:rsidP="009A20C1">
            <w:r>
              <w:t>The Expert Group WGEEL needs a communication framework with managers and stakeholders.</w:t>
            </w:r>
          </w:p>
        </w:tc>
      </w:tr>
      <w:tr w:rsidR="009423B0" w:rsidRPr="00BB4F56">
        <w:trPr>
          <w:trHeight w:val="763"/>
          <w:jc w:val="center"/>
        </w:trPr>
        <w:tc>
          <w:tcPr>
            <w:tcW w:w="3369" w:type="dxa"/>
            <w:tcBorders>
              <w:top w:val="single" w:sz="6" w:space="0" w:color="000000"/>
            </w:tcBorders>
            <w:shd w:val="clear" w:color="auto" w:fill="auto"/>
            <w:vAlign w:val="center"/>
          </w:tcPr>
          <w:p w:rsidR="009423B0" w:rsidRPr="00BB4F56" w:rsidRDefault="00D62B7D" w:rsidP="00F30893">
            <w:pPr>
              <w:ind w:left="426"/>
            </w:pPr>
            <w:r w:rsidRPr="00BB4F56">
              <w:t>2.2</w:t>
            </w:r>
            <w:r w:rsidR="007A2117" w:rsidRPr="00BB4F56">
              <w:t xml:space="preserve">.2. </w:t>
            </w:r>
            <w:r w:rsidR="00E363A2">
              <w:t xml:space="preserve">Identify </w:t>
            </w:r>
            <w:r w:rsidR="009423B0" w:rsidRPr="00BB4F56">
              <w:t>stakeholders concerned and involved (answer not immediately needed but think about it and address it in the course of the project)</w:t>
            </w:r>
          </w:p>
        </w:tc>
        <w:tc>
          <w:tcPr>
            <w:tcW w:w="6218" w:type="dxa"/>
            <w:gridSpan w:val="2"/>
            <w:tcBorders>
              <w:top w:val="single" w:sz="6" w:space="0" w:color="000000"/>
            </w:tcBorders>
            <w:shd w:val="clear" w:color="auto" w:fill="auto"/>
          </w:tcPr>
          <w:p w:rsidR="00D64126" w:rsidRDefault="00D64126" w:rsidP="00D64126">
            <w:pPr>
              <w:outlineLvl w:val="2"/>
            </w:pPr>
            <w:r>
              <w:t>Other linkages to SCICOM, WGRECORDS</w:t>
            </w:r>
          </w:p>
          <w:p w:rsidR="00D64126" w:rsidRDefault="00D64126" w:rsidP="00D64126">
            <w:pPr>
              <w:outlineLvl w:val="2"/>
            </w:pPr>
            <w:r>
              <w:t>EU – DGMARE and DGENV (CITES)</w:t>
            </w:r>
          </w:p>
          <w:p w:rsidR="00D64126" w:rsidRDefault="00D64126" w:rsidP="00D64126">
            <w:pPr>
              <w:outlineLvl w:val="2"/>
            </w:pPr>
            <w:r>
              <w:t>FAO</w:t>
            </w:r>
          </w:p>
          <w:p w:rsidR="009423B0" w:rsidRPr="00BB4F56" w:rsidRDefault="00D64126" w:rsidP="00D64126">
            <w:pPr>
              <w:outlineLvl w:val="2"/>
            </w:pPr>
            <w:r>
              <w:t xml:space="preserve">Links with eel </w:t>
            </w:r>
            <w:proofErr w:type="spellStart"/>
            <w:r>
              <w:t>research</w:t>
            </w:r>
            <w:r w:rsidR="009A20C1" w:rsidRPr="009A20C1">
              <w:t>Nominated</w:t>
            </w:r>
            <w:proofErr w:type="spellEnd"/>
            <w:r w:rsidR="009A20C1" w:rsidRPr="009A20C1">
              <w:t xml:space="preserve"> and invited Scientists</w:t>
            </w:r>
          </w:p>
        </w:tc>
      </w:tr>
      <w:tr w:rsidR="00F30893" w:rsidRPr="00BB4F56">
        <w:trPr>
          <w:trHeight w:val="763"/>
          <w:jc w:val="center"/>
        </w:trPr>
        <w:tc>
          <w:tcPr>
            <w:tcW w:w="3369" w:type="dxa"/>
            <w:shd w:val="clear" w:color="auto" w:fill="auto"/>
            <w:vAlign w:val="center"/>
          </w:tcPr>
          <w:p w:rsidR="00F30893" w:rsidRPr="00BB4F56" w:rsidRDefault="005C7360" w:rsidP="00F30893">
            <w:pPr>
              <w:rPr>
                <w:b/>
              </w:rPr>
            </w:pPr>
            <w:r w:rsidRPr="00BB4F56">
              <w:rPr>
                <w:b/>
              </w:rPr>
              <w:t>2.3</w:t>
            </w:r>
            <w:r w:rsidR="00F30893" w:rsidRPr="00BB4F56">
              <w:rPr>
                <w:b/>
              </w:rPr>
              <w:t xml:space="preserve">  Time frame</w:t>
            </w:r>
            <w:r w:rsidR="00872CD2" w:rsidRPr="00BB4F56">
              <w:rPr>
                <w:rStyle w:val="FootnoteReference"/>
                <w:b/>
              </w:rPr>
              <w:footnoteReference w:id="7"/>
            </w:r>
            <w:r w:rsidR="00F30893" w:rsidRPr="00BB4F56">
              <w:rPr>
                <w:b/>
              </w:rPr>
              <w:t xml:space="preserve">  </w:t>
            </w:r>
          </w:p>
        </w:tc>
        <w:tc>
          <w:tcPr>
            <w:tcW w:w="6218" w:type="dxa"/>
            <w:gridSpan w:val="2"/>
            <w:shd w:val="clear" w:color="auto" w:fill="auto"/>
          </w:tcPr>
          <w:p w:rsidR="00F30893" w:rsidRPr="00BB4F56" w:rsidRDefault="00F30893" w:rsidP="00F30893"/>
          <w:p w:rsidR="00F30893" w:rsidRPr="00BB4F56" w:rsidRDefault="009A20C1" w:rsidP="00B96EFA">
            <w:r w:rsidRPr="009A20C1">
              <w:t>Annual meetings</w:t>
            </w:r>
          </w:p>
        </w:tc>
      </w:tr>
      <w:tr w:rsidR="00F30893" w:rsidRPr="00BB4F56">
        <w:trPr>
          <w:trHeight w:val="763"/>
          <w:jc w:val="center"/>
        </w:trPr>
        <w:tc>
          <w:tcPr>
            <w:tcW w:w="3369" w:type="dxa"/>
            <w:shd w:val="clear" w:color="auto" w:fill="auto"/>
            <w:vAlign w:val="center"/>
          </w:tcPr>
          <w:p w:rsidR="00F30893" w:rsidRPr="00BB4F56" w:rsidRDefault="00A22646" w:rsidP="00F30893">
            <w:pPr>
              <w:rPr>
                <w:b/>
              </w:rPr>
            </w:pPr>
            <w:r w:rsidRPr="00BB4F56">
              <w:rPr>
                <w:b/>
              </w:rPr>
              <w:t>2.4</w:t>
            </w:r>
            <w:r w:rsidR="00F74618" w:rsidRPr="00BB4F56">
              <w:rPr>
                <w:b/>
              </w:rPr>
              <w:t xml:space="preserve">  Expected d</w:t>
            </w:r>
            <w:r w:rsidR="00F30893" w:rsidRPr="00BB4F56">
              <w:rPr>
                <w:b/>
              </w:rPr>
              <w:t>eliverables</w:t>
            </w:r>
            <w:r w:rsidR="007A7F64" w:rsidRPr="00BB4F56">
              <w:rPr>
                <w:rStyle w:val="FootnoteReference"/>
                <w:b/>
              </w:rPr>
              <w:footnoteReference w:id="8"/>
            </w:r>
          </w:p>
        </w:tc>
        <w:tc>
          <w:tcPr>
            <w:tcW w:w="6218" w:type="dxa"/>
            <w:gridSpan w:val="2"/>
            <w:shd w:val="clear" w:color="auto" w:fill="auto"/>
          </w:tcPr>
          <w:p w:rsidR="00BE0258" w:rsidRDefault="00BE0258" w:rsidP="00BE0258">
            <w:r>
              <w:t>One meeting per year (two in 2013 to support revision of the EU Regulation for recovery of eel stock)</w:t>
            </w:r>
          </w:p>
          <w:p w:rsidR="00BE0258" w:rsidRDefault="00BE0258" w:rsidP="00BE0258">
            <w:r>
              <w:t>One technical report per year, including individual Country Reports to the WGEEL</w:t>
            </w:r>
          </w:p>
          <w:p w:rsidR="00BE0258" w:rsidRDefault="00BE0258" w:rsidP="00BE0258">
            <w:r>
              <w:t xml:space="preserve">Draft scientific advice to ICES </w:t>
            </w:r>
            <w:proofErr w:type="spellStart"/>
            <w:r>
              <w:t>ADGroup</w:t>
            </w:r>
            <w:proofErr w:type="spellEnd"/>
            <w:r>
              <w:t xml:space="preserve"> (ACOM)</w:t>
            </w:r>
          </w:p>
          <w:p w:rsidR="00BE0258" w:rsidRDefault="00BE0258" w:rsidP="00BE0258">
            <w:r>
              <w:t xml:space="preserve">Each </w:t>
            </w:r>
            <w:proofErr w:type="spellStart"/>
            <w:r>
              <w:t>ToR</w:t>
            </w:r>
            <w:proofErr w:type="spellEnd"/>
            <w:r>
              <w:t xml:space="preserve"> is addressed annually.</w:t>
            </w:r>
          </w:p>
          <w:p w:rsidR="00F30893" w:rsidRPr="00BB4F56" w:rsidRDefault="00BE0258" w:rsidP="00BE0258">
            <w:r>
              <w:t>Report is organised into themes.</w:t>
            </w:r>
            <w:r w:rsidR="00C000C0" w:rsidRPr="00BF3BE9">
              <w:t xml:space="preserve">  </w:t>
            </w:r>
          </w:p>
        </w:tc>
      </w:tr>
      <w:tr w:rsidR="00F30893" w:rsidRPr="00BB4F56">
        <w:trPr>
          <w:trHeight w:val="763"/>
          <w:jc w:val="center"/>
        </w:trPr>
        <w:tc>
          <w:tcPr>
            <w:tcW w:w="3369" w:type="dxa"/>
            <w:tcBorders>
              <w:bottom w:val="single" w:sz="6" w:space="0" w:color="000000"/>
            </w:tcBorders>
            <w:shd w:val="clear" w:color="auto" w:fill="auto"/>
            <w:vAlign w:val="center"/>
          </w:tcPr>
          <w:p w:rsidR="00F30893" w:rsidRPr="00BB4F56" w:rsidRDefault="00A22646" w:rsidP="00F30893">
            <w:pPr>
              <w:rPr>
                <w:b/>
              </w:rPr>
            </w:pPr>
            <w:r w:rsidRPr="00BB4F56">
              <w:rPr>
                <w:b/>
              </w:rPr>
              <w:t>2.5</w:t>
            </w:r>
            <w:r w:rsidR="00F30893" w:rsidRPr="00BB4F56">
              <w:rPr>
                <w:b/>
              </w:rPr>
              <w:t xml:space="preserve">  </w:t>
            </w:r>
            <w:r w:rsidR="00444C35" w:rsidRPr="00BB4F56">
              <w:rPr>
                <w:b/>
              </w:rPr>
              <w:t xml:space="preserve">Outline of Working </w:t>
            </w:r>
            <w:r w:rsidR="00F30893" w:rsidRPr="00BB4F56">
              <w:rPr>
                <w:b/>
              </w:rPr>
              <w:t>Methodology</w:t>
            </w:r>
            <w:r w:rsidR="00F30893" w:rsidRPr="00BB4F56">
              <w:rPr>
                <w:rStyle w:val="FootnoteReference"/>
              </w:rPr>
              <w:footnoteReference w:id="9"/>
            </w:r>
          </w:p>
        </w:tc>
        <w:tc>
          <w:tcPr>
            <w:tcW w:w="6218" w:type="dxa"/>
            <w:gridSpan w:val="2"/>
            <w:tcBorders>
              <w:bottom w:val="single" w:sz="6" w:space="0" w:color="000000"/>
            </w:tcBorders>
            <w:shd w:val="clear" w:color="auto" w:fill="auto"/>
          </w:tcPr>
          <w:p w:rsidR="00BE0258" w:rsidRDefault="00BE0258" w:rsidP="00BE0258">
            <w:r>
              <w:t xml:space="preserve">Meetings and correspondence, including an Annual Working Group involving those identified in </w:t>
            </w:r>
            <w:proofErr w:type="gramStart"/>
            <w:r>
              <w:t>C(</w:t>
            </w:r>
            <w:proofErr w:type="spellStart"/>
            <w:proofErr w:type="gramEnd"/>
            <w:r>
              <w:t>i</w:t>
            </w:r>
            <w:proofErr w:type="spellEnd"/>
            <w:r>
              <w:t>) and close liaison with Study Groups and Workshops.</w:t>
            </w:r>
          </w:p>
          <w:p w:rsidR="00BE0258" w:rsidRDefault="00BE0258" w:rsidP="00BE0258">
            <w:r>
              <w:t>Country Reports on Eel stock and data updates.</w:t>
            </w:r>
          </w:p>
          <w:p w:rsidR="00BE0258" w:rsidRDefault="00BE0258" w:rsidP="00BE0258">
            <w:r>
              <w:t>Collation and examination of national data collected under the DCF</w:t>
            </w:r>
          </w:p>
          <w:p w:rsidR="00B64B68" w:rsidRPr="00BB4F56" w:rsidRDefault="00BE0258" w:rsidP="00BE0258">
            <w:r>
              <w:t>Collation and examination of national data reported to the EU</w:t>
            </w:r>
          </w:p>
        </w:tc>
      </w:tr>
      <w:tr w:rsidR="00F30893" w:rsidRPr="00BB4F56">
        <w:trPr>
          <w:trHeight w:val="48"/>
          <w:jc w:val="center"/>
        </w:trPr>
        <w:tc>
          <w:tcPr>
            <w:tcW w:w="9587" w:type="dxa"/>
            <w:gridSpan w:val="3"/>
            <w:tcBorders>
              <w:top w:val="single" w:sz="6" w:space="0" w:color="000000"/>
              <w:bottom w:val="single" w:sz="6" w:space="0" w:color="000000"/>
            </w:tcBorders>
            <w:shd w:val="clear" w:color="auto" w:fill="D9D9D9"/>
            <w:vAlign w:val="center"/>
          </w:tcPr>
          <w:p w:rsidR="00F30893" w:rsidRPr="00BB4F56" w:rsidRDefault="00A22646" w:rsidP="00F30893">
            <w:pPr>
              <w:jc w:val="center"/>
              <w:rPr>
                <w:b/>
              </w:rPr>
            </w:pPr>
            <w:r w:rsidRPr="00BB4F56">
              <w:rPr>
                <w:b/>
              </w:rPr>
              <w:t>3</w:t>
            </w:r>
            <w:r w:rsidR="00F30893" w:rsidRPr="00BB4F56">
              <w:rPr>
                <w:b/>
              </w:rPr>
              <w:t>.  BUDG</w:t>
            </w:r>
            <w:r w:rsidR="00CF4261" w:rsidRPr="00BB4F56">
              <w:rPr>
                <w:b/>
              </w:rPr>
              <w:t>ET</w:t>
            </w:r>
          </w:p>
        </w:tc>
      </w:tr>
      <w:tr w:rsidR="00ED02C4" w:rsidRPr="00BB4F56">
        <w:trPr>
          <w:trHeight w:val="269"/>
          <w:jc w:val="center"/>
        </w:trPr>
        <w:tc>
          <w:tcPr>
            <w:tcW w:w="3369" w:type="dxa"/>
            <w:tcBorders>
              <w:top w:val="nil"/>
              <w:bottom w:val="single" w:sz="6" w:space="0" w:color="000000"/>
            </w:tcBorders>
            <w:shd w:val="clear" w:color="auto" w:fill="auto"/>
            <w:vAlign w:val="center"/>
          </w:tcPr>
          <w:p w:rsidR="00ED02C4" w:rsidRPr="00BB4F56" w:rsidRDefault="00ED02C4" w:rsidP="00397E2F">
            <w:pPr>
              <w:rPr>
                <w:b/>
              </w:rPr>
            </w:pPr>
            <w:r>
              <w:rPr>
                <w:b/>
              </w:rPr>
              <w:t xml:space="preserve">3.1     </w:t>
            </w:r>
            <w:r w:rsidRPr="00BB4F56">
              <w:rPr>
                <w:b/>
              </w:rPr>
              <w:t>Budget</w:t>
            </w:r>
            <w:r w:rsidRPr="00BB4F56">
              <w:rPr>
                <w:rStyle w:val="FootnoteReference"/>
                <w:b/>
              </w:rPr>
              <w:footnoteReference w:id="10"/>
            </w:r>
          </w:p>
        </w:tc>
        <w:tc>
          <w:tcPr>
            <w:tcW w:w="6218" w:type="dxa"/>
            <w:gridSpan w:val="2"/>
            <w:tcBorders>
              <w:top w:val="single" w:sz="6" w:space="0" w:color="000000"/>
              <w:bottom w:val="single" w:sz="6" w:space="0" w:color="000000"/>
            </w:tcBorders>
            <w:shd w:val="thinReverseDiagStripe" w:color="auto" w:fill="auto"/>
          </w:tcPr>
          <w:p w:rsidR="00ED02C4" w:rsidRPr="00BB4F56" w:rsidRDefault="00ED02C4" w:rsidP="00397E2F"/>
        </w:tc>
      </w:tr>
      <w:tr w:rsidR="00350ADF" w:rsidRPr="00BB4F56">
        <w:trPr>
          <w:trHeight w:val="763"/>
          <w:jc w:val="center"/>
        </w:trPr>
        <w:tc>
          <w:tcPr>
            <w:tcW w:w="3369" w:type="dxa"/>
            <w:tcBorders>
              <w:top w:val="single" w:sz="6" w:space="0" w:color="000000"/>
              <w:bottom w:val="single" w:sz="6" w:space="0" w:color="000000"/>
            </w:tcBorders>
            <w:shd w:val="clear" w:color="auto" w:fill="auto"/>
            <w:vAlign w:val="center"/>
          </w:tcPr>
          <w:p w:rsidR="00350ADF" w:rsidRPr="00BB4F56" w:rsidRDefault="00350ADF" w:rsidP="00350ADF">
            <w:pPr>
              <w:rPr>
                <w:b/>
              </w:rPr>
            </w:pPr>
            <w:r w:rsidRPr="00BB4F56">
              <w:rPr>
                <w:b/>
              </w:rPr>
              <w:t>3.1.1  available</w:t>
            </w:r>
          </w:p>
        </w:tc>
        <w:tc>
          <w:tcPr>
            <w:tcW w:w="6218" w:type="dxa"/>
            <w:gridSpan w:val="2"/>
            <w:tcBorders>
              <w:top w:val="single" w:sz="6" w:space="0" w:color="000000"/>
              <w:bottom w:val="single" w:sz="6" w:space="0" w:color="000000"/>
            </w:tcBorders>
            <w:shd w:val="clear" w:color="auto" w:fill="auto"/>
          </w:tcPr>
          <w:p w:rsidR="00350ADF" w:rsidRPr="00BF3BE9" w:rsidRDefault="00D64126" w:rsidP="00994B49">
            <w:pPr>
              <w:ind w:left="360"/>
            </w:pPr>
            <w:r>
              <w:t>No</w:t>
            </w:r>
          </w:p>
        </w:tc>
      </w:tr>
      <w:tr w:rsidR="00350ADF" w:rsidRPr="00BB4F56">
        <w:trPr>
          <w:trHeight w:val="763"/>
          <w:jc w:val="center"/>
        </w:trPr>
        <w:tc>
          <w:tcPr>
            <w:tcW w:w="3369" w:type="dxa"/>
            <w:tcBorders>
              <w:top w:val="single" w:sz="6" w:space="0" w:color="000000"/>
              <w:bottom w:val="single" w:sz="6" w:space="0" w:color="000000"/>
            </w:tcBorders>
            <w:shd w:val="clear" w:color="auto" w:fill="auto"/>
            <w:vAlign w:val="center"/>
          </w:tcPr>
          <w:p w:rsidR="00350ADF" w:rsidRPr="00BB4F56" w:rsidRDefault="00350ADF" w:rsidP="00350ADF">
            <w:pPr>
              <w:rPr>
                <w:b/>
              </w:rPr>
            </w:pPr>
            <w:r w:rsidRPr="00BB4F56">
              <w:rPr>
                <w:b/>
              </w:rPr>
              <w:t>3.1.2  possible</w:t>
            </w:r>
          </w:p>
        </w:tc>
        <w:tc>
          <w:tcPr>
            <w:tcW w:w="6218" w:type="dxa"/>
            <w:gridSpan w:val="2"/>
            <w:tcBorders>
              <w:top w:val="single" w:sz="6" w:space="0" w:color="000000"/>
              <w:bottom w:val="single" w:sz="6" w:space="0" w:color="000000"/>
            </w:tcBorders>
            <w:shd w:val="clear" w:color="auto" w:fill="auto"/>
          </w:tcPr>
          <w:p w:rsidR="00350ADF" w:rsidRPr="00BB4F56" w:rsidRDefault="00350ADF" w:rsidP="00880727">
            <w:pPr>
              <w:ind w:left="360"/>
              <w:rPr>
                <w:color w:val="1F497D"/>
              </w:rPr>
            </w:pPr>
          </w:p>
        </w:tc>
      </w:tr>
      <w:tr w:rsidR="00350ADF" w:rsidRPr="00BB4F56">
        <w:trPr>
          <w:trHeight w:val="763"/>
          <w:jc w:val="center"/>
        </w:trPr>
        <w:tc>
          <w:tcPr>
            <w:tcW w:w="3369" w:type="dxa"/>
            <w:tcBorders>
              <w:top w:val="single" w:sz="6" w:space="0" w:color="000000"/>
              <w:bottom w:val="single" w:sz="6" w:space="0" w:color="000000"/>
            </w:tcBorders>
            <w:shd w:val="clear" w:color="auto" w:fill="auto"/>
            <w:vAlign w:val="center"/>
          </w:tcPr>
          <w:p w:rsidR="00350ADF" w:rsidRPr="00BB4F56" w:rsidRDefault="00350ADF" w:rsidP="00350ADF">
            <w:pPr>
              <w:rPr>
                <w:b/>
              </w:rPr>
            </w:pPr>
            <w:r w:rsidRPr="00BB4F56">
              <w:rPr>
                <w:b/>
              </w:rPr>
              <w:t>3.1.3  required</w:t>
            </w:r>
          </w:p>
        </w:tc>
        <w:tc>
          <w:tcPr>
            <w:tcW w:w="6218" w:type="dxa"/>
            <w:gridSpan w:val="2"/>
            <w:tcBorders>
              <w:top w:val="single" w:sz="6" w:space="0" w:color="000000"/>
              <w:bottom w:val="single" w:sz="6" w:space="0" w:color="000000"/>
            </w:tcBorders>
            <w:shd w:val="clear" w:color="auto" w:fill="auto"/>
          </w:tcPr>
          <w:p w:rsidR="00350ADF" w:rsidRPr="00FF7857" w:rsidRDefault="002B2EAB" w:rsidP="008720C0">
            <w:pPr>
              <w:ind w:left="360"/>
              <w:rPr>
                <w:color w:val="000000"/>
              </w:rPr>
            </w:pPr>
            <w:r w:rsidRPr="00FF7857">
              <w:rPr>
                <w:color w:val="000000"/>
              </w:rPr>
              <w:t>An EIFAAC budget is not required</w:t>
            </w:r>
            <w:r w:rsidR="003E7195" w:rsidRPr="00FF7857">
              <w:rPr>
                <w:color w:val="000000"/>
              </w:rPr>
              <w:t>.</w:t>
            </w:r>
          </w:p>
        </w:tc>
      </w:tr>
    </w:tbl>
    <w:p w:rsidR="00F30893" w:rsidRPr="00BB4F56" w:rsidRDefault="00F30893" w:rsidP="00F30893"/>
    <w:p w:rsidR="00E32667" w:rsidRPr="00BB4F56" w:rsidRDefault="00314197" w:rsidP="00314197">
      <w:pPr>
        <w:jc w:val="right"/>
        <w:rPr>
          <w:b/>
        </w:rPr>
      </w:pPr>
      <w:r w:rsidRPr="00BB4F56">
        <w:br w:type="page"/>
      </w:r>
      <w:r w:rsidRPr="00BB4F56">
        <w:rPr>
          <w:b/>
        </w:rPr>
        <w:lastRenderedPageBreak/>
        <w:t>Appendix A</w:t>
      </w:r>
    </w:p>
    <w:p w:rsidR="00314197" w:rsidRPr="00BB4F56" w:rsidRDefault="00314197" w:rsidP="00F30893"/>
    <w:p w:rsidR="00314197" w:rsidRPr="00BB4F56" w:rsidRDefault="00314197" w:rsidP="00F30893"/>
    <w:p w:rsidR="00314197" w:rsidRPr="00BB4F56" w:rsidRDefault="00314197" w:rsidP="00314197">
      <w:pPr>
        <w:jc w:val="center"/>
        <w:rPr>
          <w:b/>
        </w:rPr>
      </w:pPr>
      <w:r w:rsidRPr="00BB4F56">
        <w:rPr>
          <w:b/>
        </w:rPr>
        <w:t>EIFAAC STRATEGIC OBJECTIVES</w:t>
      </w:r>
    </w:p>
    <w:p w:rsidR="00314197" w:rsidRPr="00BB4F56" w:rsidRDefault="00314197" w:rsidP="00F30893"/>
    <w:p w:rsidR="0051738B" w:rsidRPr="00BB4F56" w:rsidRDefault="0051738B" w:rsidP="00F30893">
      <w:r w:rsidRPr="00BB4F56">
        <w:t>Select one of below list:</w:t>
      </w:r>
    </w:p>
    <w:p w:rsidR="00314197" w:rsidRPr="00BB4F56" w:rsidRDefault="00314197" w:rsidP="00F30893"/>
    <w:tbl>
      <w:tblPr>
        <w:tblW w:w="958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8719"/>
        <w:gridCol w:w="868"/>
      </w:tblGrid>
      <w:tr w:rsidR="0051738B" w:rsidRPr="00BB4F56">
        <w:trPr>
          <w:trHeight w:val="763"/>
          <w:jc w:val="center"/>
        </w:trPr>
        <w:tc>
          <w:tcPr>
            <w:tcW w:w="8719" w:type="dxa"/>
            <w:shd w:val="clear" w:color="auto" w:fill="auto"/>
            <w:vAlign w:val="center"/>
          </w:tcPr>
          <w:p w:rsidR="00B50CEF" w:rsidRPr="00BB4F56" w:rsidRDefault="00B50CEF" w:rsidP="00B50CEF">
            <w:pPr>
              <w:pStyle w:val="Default"/>
              <w:rPr>
                <w:b/>
                <w:bCs/>
                <w:sz w:val="22"/>
                <w:szCs w:val="22"/>
                <w:lang w:val="en-GB"/>
              </w:rPr>
            </w:pPr>
            <w:r w:rsidRPr="00BB4F56">
              <w:rPr>
                <w:b/>
                <w:bCs/>
                <w:sz w:val="22"/>
                <w:szCs w:val="22"/>
                <w:lang w:val="en-GB"/>
              </w:rPr>
              <w:t>I.</w:t>
            </w:r>
            <w:r w:rsidRPr="00BB4F56">
              <w:rPr>
                <w:b/>
                <w:bCs/>
                <w:sz w:val="22"/>
                <w:szCs w:val="22"/>
                <w:lang w:val="en-GB"/>
              </w:rPr>
              <w:tab/>
              <w:t>Management-related issues and principles for inland fisheries and aquaculture</w:t>
            </w:r>
          </w:p>
          <w:p w:rsidR="0051738B" w:rsidRPr="00BB4F56" w:rsidRDefault="0051738B" w:rsidP="00245038">
            <w:pPr>
              <w:rPr>
                <w:b/>
              </w:rPr>
            </w:pPr>
          </w:p>
        </w:tc>
        <w:tc>
          <w:tcPr>
            <w:tcW w:w="868" w:type="dxa"/>
            <w:shd w:val="clear" w:color="auto" w:fill="auto"/>
          </w:tcPr>
          <w:p w:rsidR="0051738B" w:rsidRPr="00BB4F56" w:rsidRDefault="0051738B" w:rsidP="00245038"/>
          <w:p w:rsidR="0051738B" w:rsidRPr="00BB4F56" w:rsidRDefault="00D64126" w:rsidP="00245038">
            <w:r>
              <w:t>x</w:t>
            </w:r>
          </w:p>
        </w:tc>
      </w:tr>
      <w:tr w:rsidR="00B50CEF" w:rsidRPr="00BB4F56">
        <w:trPr>
          <w:trHeight w:val="763"/>
          <w:jc w:val="center"/>
        </w:trPr>
        <w:tc>
          <w:tcPr>
            <w:tcW w:w="8719" w:type="dxa"/>
            <w:shd w:val="clear" w:color="auto" w:fill="auto"/>
            <w:vAlign w:val="center"/>
          </w:tcPr>
          <w:p w:rsidR="00B50CEF" w:rsidRPr="00BB4F56" w:rsidRDefault="00B50CEF" w:rsidP="0063369D">
            <w:pPr>
              <w:pStyle w:val="Default"/>
              <w:ind w:left="781" w:hanging="781"/>
              <w:rPr>
                <w:b/>
                <w:bCs/>
                <w:sz w:val="22"/>
                <w:szCs w:val="22"/>
                <w:lang w:val="en-GB"/>
              </w:rPr>
            </w:pPr>
            <w:r w:rsidRPr="00BB4F56">
              <w:rPr>
                <w:b/>
                <w:bCs/>
                <w:sz w:val="22"/>
                <w:szCs w:val="22"/>
                <w:lang w:val="en-GB"/>
              </w:rPr>
              <w:t>II.</w:t>
            </w:r>
            <w:r w:rsidRPr="00BB4F56">
              <w:rPr>
                <w:b/>
                <w:bCs/>
                <w:sz w:val="22"/>
                <w:szCs w:val="22"/>
                <w:lang w:val="en-GB"/>
              </w:rPr>
              <w:tab/>
              <w:t>Interactions and avoidance or resolution of conflicts in inland fisheries and aquaculture</w:t>
            </w:r>
          </w:p>
          <w:p w:rsidR="00B50CEF" w:rsidRPr="00BB4F56" w:rsidRDefault="00B50CEF" w:rsidP="00245038">
            <w:pPr>
              <w:rPr>
                <w:b/>
              </w:rPr>
            </w:pPr>
          </w:p>
        </w:tc>
        <w:tc>
          <w:tcPr>
            <w:tcW w:w="868" w:type="dxa"/>
            <w:shd w:val="clear" w:color="auto" w:fill="auto"/>
          </w:tcPr>
          <w:p w:rsidR="00B50CEF" w:rsidRPr="00BB4F56" w:rsidRDefault="00B50CEF" w:rsidP="00245038"/>
        </w:tc>
      </w:tr>
      <w:tr w:rsidR="00B50CEF" w:rsidRPr="00BB4F56">
        <w:trPr>
          <w:trHeight w:val="763"/>
          <w:jc w:val="center"/>
        </w:trPr>
        <w:tc>
          <w:tcPr>
            <w:tcW w:w="8719" w:type="dxa"/>
            <w:shd w:val="clear" w:color="auto" w:fill="auto"/>
            <w:vAlign w:val="center"/>
          </w:tcPr>
          <w:p w:rsidR="00B50CEF" w:rsidRPr="00BB4F56" w:rsidRDefault="00B50CEF" w:rsidP="00B50CEF">
            <w:pPr>
              <w:pStyle w:val="Default"/>
              <w:ind w:left="720" w:hanging="720"/>
              <w:rPr>
                <w:b/>
                <w:bCs/>
                <w:sz w:val="22"/>
                <w:szCs w:val="22"/>
                <w:lang w:val="en-GB"/>
              </w:rPr>
            </w:pPr>
            <w:smartTag w:uri="urn:schemas-microsoft-com:office:smarttags" w:element="stockticker">
              <w:r w:rsidRPr="00BB4F56">
                <w:rPr>
                  <w:b/>
                  <w:bCs/>
                  <w:sz w:val="22"/>
                  <w:szCs w:val="22"/>
                  <w:lang w:val="en-GB"/>
                </w:rPr>
                <w:t>III</w:t>
              </w:r>
            </w:smartTag>
            <w:r w:rsidRPr="00BB4F56">
              <w:rPr>
                <w:b/>
                <w:bCs/>
                <w:sz w:val="22"/>
                <w:szCs w:val="22"/>
                <w:lang w:val="en-GB"/>
              </w:rPr>
              <w:t>.</w:t>
            </w:r>
            <w:r w:rsidRPr="00BB4F56">
              <w:rPr>
                <w:b/>
                <w:bCs/>
                <w:sz w:val="22"/>
                <w:szCs w:val="22"/>
                <w:lang w:val="en-GB"/>
              </w:rPr>
              <w:tab/>
              <w:t>Harmonization of cross-border and cross-sectoral governance and legal aspects of inland fisheries and aquaculture</w:t>
            </w:r>
          </w:p>
          <w:p w:rsidR="00B50CEF" w:rsidRPr="00BB4F56" w:rsidRDefault="00B50CEF" w:rsidP="00245038">
            <w:pPr>
              <w:rPr>
                <w:b/>
              </w:rPr>
            </w:pPr>
          </w:p>
        </w:tc>
        <w:tc>
          <w:tcPr>
            <w:tcW w:w="868" w:type="dxa"/>
            <w:shd w:val="clear" w:color="auto" w:fill="auto"/>
          </w:tcPr>
          <w:p w:rsidR="00B50CEF" w:rsidRPr="00BB4F56" w:rsidRDefault="00D64126" w:rsidP="00245038">
            <w:r>
              <w:t>x</w:t>
            </w:r>
          </w:p>
        </w:tc>
      </w:tr>
      <w:tr w:rsidR="00B50CEF" w:rsidRPr="00BB4F56">
        <w:trPr>
          <w:trHeight w:val="763"/>
          <w:jc w:val="center"/>
        </w:trPr>
        <w:tc>
          <w:tcPr>
            <w:tcW w:w="8719" w:type="dxa"/>
            <w:shd w:val="clear" w:color="auto" w:fill="auto"/>
            <w:vAlign w:val="center"/>
          </w:tcPr>
          <w:p w:rsidR="0063369D" w:rsidRPr="00BB4F56" w:rsidRDefault="0063369D" w:rsidP="0063369D">
            <w:pPr>
              <w:pStyle w:val="Default"/>
              <w:rPr>
                <w:b/>
                <w:bCs/>
                <w:sz w:val="22"/>
                <w:szCs w:val="22"/>
                <w:lang w:val="en-GB"/>
              </w:rPr>
            </w:pPr>
            <w:r w:rsidRPr="00BB4F56">
              <w:rPr>
                <w:b/>
                <w:bCs/>
                <w:sz w:val="22"/>
                <w:szCs w:val="22"/>
                <w:lang w:val="en-GB"/>
              </w:rPr>
              <w:t>IV.</w:t>
            </w:r>
            <w:r w:rsidRPr="00BB4F56">
              <w:rPr>
                <w:b/>
                <w:bCs/>
                <w:sz w:val="22"/>
                <w:szCs w:val="22"/>
                <w:lang w:val="en-GB"/>
              </w:rPr>
              <w:tab/>
              <w:t>Protection and restoration of the environment and species</w:t>
            </w:r>
          </w:p>
          <w:p w:rsidR="00B50CEF" w:rsidRPr="00BB4F56" w:rsidRDefault="00B50CEF" w:rsidP="00245038">
            <w:pPr>
              <w:rPr>
                <w:b/>
              </w:rPr>
            </w:pPr>
          </w:p>
        </w:tc>
        <w:tc>
          <w:tcPr>
            <w:tcW w:w="868" w:type="dxa"/>
            <w:shd w:val="clear" w:color="auto" w:fill="auto"/>
          </w:tcPr>
          <w:p w:rsidR="00B50CEF" w:rsidRPr="00BB4F56" w:rsidRDefault="00D64126" w:rsidP="00245038">
            <w:r>
              <w:t>x</w:t>
            </w:r>
          </w:p>
        </w:tc>
      </w:tr>
      <w:tr w:rsidR="00B50CEF" w:rsidRPr="00BB4F56">
        <w:trPr>
          <w:trHeight w:val="763"/>
          <w:jc w:val="center"/>
        </w:trPr>
        <w:tc>
          <w:tcPr>
            <w:tcW w:w="8719" w:type="dxa"/>
            <w:shd w:val="clear" w:color="auto" w:fill="auto"/>
            <w:vAlign w:val="center"/>
          </w:tcPr>
          <w:p w:rsidR="0063369D" w:rsidRPr="00BB4F56" w:rsidRDefault="0063369D" w:rsidP="0063369D">
            <w:pPr>
              <w:pStyle w:val="Default"/>
              <w:rPr>
                <w:b/>
                <w:bCs/>
                <w:sz w:val="22"/>
                <w:szCs w:val="22"/>
                <w:lang w:val="en-GB"/>
              </w:rPr>
            </w:pPr>
            <w:r w:rsidRPr="00BB4F56">
              <w:rPr>
                <w:b/>
                <w:bCs/>
                <w:sz w:val="22"/>
                <w:szCs w:val="22"/>
                <w:lang w:val="en-GB"/>
              </w:rPr>
              <w:t>V.</w:t>
            </w:r>
            <w:r w:rsidRPr="00BB4F56">
              <w:rPr>
                <w:b/>
                <w:bCs/>
                <w:sz w:val="22"/>
                <w:szCs w:val="22"/>
                <w:lang w:val="en-GB"/>
              </w:rPr>
              <w:tab/>
              <w:t>Trade and economic aspects of inland fisheries and aquaculture</w:t>
            </w:r>
          </w:p>
          <w:p w:rsidR="00B50CEF" w:rsidRPr="00BB4F56" w:rsidRDefault="00B50CEF" w:rsidP="00245038">
            <w:pPr>
              <w:rPr>
                <w:b/>
              </w:rPr>
            </w:pPr>
          </w:p>
        </w:tc>
        <w:tc>
          <w:tcPr>
            <w:tcW w:w="868" w:type="dxa"/>
            <w:shd w:val="clear" w:color="auto" w:fill="auto"/>
          </w:tcPr>
          <w:p w:rsidR="00B50CEF" w:rsidRPr="00BB4F56" w:rsidRDefault="00D64126" w:rsidP="00245038">
            <w:r>
              <w:t>x</w:t>
            </w:r>
          </w:p>
        </w:tc>
      </w:tr>
      <w:tr w:rsidR="00B50CEF" w:rsidRPr="00BB4F56">
        <w:trPr>
          <w:trHeight w:val="763"/>
          <w:jc w:val="center"/>
        </w:trPr>
        <w:tc>
          <w:tcPr>
            <w:tcW w:w="8719" w:type="dxa"/>
            <w:shd w:val="clear" w:color="auto" w:fill="auto"/>
            <w:vAlign w:val="center"/>
          </w:tcPr>
          <w:p w:rsidR="0063369D" w:rsidRPr="00BB4F56" w:rsidRDefault="0063369D" w:rsidP="0063369D">
            <w:pPr>
              <w:pStyle w:val="Default"/>
              <w:rPr>
                <w:b/>
                <w:bCs/>
                <w:sz w:val="22"/>
                <w:szCs w:val="22"/>
                <w:lang w:val="en-GB"/>
              </w:rPr>
            </w:pPr>
            <w:r w:rsidRPr="00BB4F56">
              <w:rPr>
                <w:b/>
                <w:bCs/>
                <w:sz w:val="22"/>
                <w:szCs w:val="22"/>
                <w:lang w:val="en-GB"/>
              </w:rPr>
              <w:t>VI.</w:t>
            </w:r>
            <w:r w:rsidRPr="00BB4F56">
              <w:rPr>
                <w:b/>
                <w:bCs/>
                <w:sz w:val="22"/>
                <w:szCs w:val="22"/>
                <w:lang w:val="en-GB"/>
              </w:rPr>
              <w:tab/>
              <w:t>Development of databases on inland fisheries and aquaculture</w:t>
            </w:r>
          </w:p>
          <w:p w:rsidR="00B50CEF" w:rsidRPr="00BB4F56" w:rsidRDefault="00B50CEF" w:rsidP="00245038">
            <w:pPr>
              <w:rPr>
                <w:b/>
              </w:rPr>
            </w:pPr>
          </w:p>
        </w:tc>
        <w:tc>
          <w:tcPr>
            <w:tcW w:w="868" w:type="dxa"/>
            <w:shd w:val="clear" w:color="auto" w:fill="auto"/>
          </w:tcPr>
          <w:p w:rsidR="00B50CEF" w:rsidRPr="00BB4F56" w:rsidRDefault="00D64126" w:rsidP="00245038">
            <w:r>
              <w:t>x</w:t>
            </w:r>
          </w:p>
        </w:tc>
      </w:tr>
      <w:tr w:rsidR="0063369D" w:rsidRPr="00BB4F56">
        <w:trPr>
          <w:trHeight w:val="763"/>
          <w:jc w:val="center"/>
        </w:trPr>
        <w:tc>
          <w:tcPr>
            <w:tcW w:w="8719" w:type="dxa"/>
            <w:shd w:val="clear" w:color="auto" w:fill="auto"/>
            <w:vAlign w:val="center"/>
          </w:tcPr>
          <w:p w:rsidR="0063369D" w:rsidRPr="00BB4F56" w:rsidRDefault="0063369D" w:rsidP="0063369D">
            <w:pPr>
              <w:pStyle w:val="Default"/>
              <w:rPr>
                <w:b/>
                <w:sz w:val="22"/>
                <w:szCs w:val="22"/>
                <w:lang w:val="en-GB"/>
              </w:rPr>
            </w:pPr>
            <w:smartTag w:uri="urn:schemas-microsoft-com:office:smarttags" w:element="stockticker">
              <w:r w:rsidRPr="00BB4F56">
                <w:rPr>
                  <w:b/>
                  <w:bCs/>
                  <w:sz w:val="22"/>
                  <w:szCs w:val="22"/>
                  <w:lang w:val="en-GB"/>
                </w:rPr>
                <w:t>VII</w:t>
              </w:r>
            </w:smartTag>
            <w:r w:rsidRPr="00BB4F56">
              <w:rPr>
                <w:b/>
                <w:bCs/>
                <w:sz w:val="22"/>
                <w:szCs w:val="22"/>
                <w:lang w:val="en-GB"/>
              </w:rPr>
              <w:t>.</w:t>
            </w:r>
            <w:r w:rsidRPr="00BB4F56">
              <w:rPr>
                <w:b/>
                <w:bCs/>
                <w:sz w:val="22"/>
                <w:szCs w:val="22"/>
                <w:lang w:val="en-GB"/>
              </w:rPr>
              <w:tab/>
              <w:t>Climate chang</w:t>
            </w:r>
            <w:r w:rsidRPr="00BB4F56">
              <w:rPr>
                <w:b/>
                <w:sz w:val="22"/>
                <w:szCs w:val="22"/>
                <w:lang w:val="en-GB"/>
              </w:rPr>
              <w:t>e</w:t>
            </w:r>
          </w:p>
          <w:p w:rsidR="0063369D" w:rsidRPr="00BB4F56" w:rsidRDefault="0063369D" w:rsidP="0063369D">
            <w:pPr>
              <w:pStyle w:val="Default"/>
              <w:rPr>
                <w:b/>
                <w:bCs/>
                <w:sz w:val="22"/>
                <w:szCs w:val="22"/>
                <w:lang w:val="en-GB"/>
              </w:rPr>
            </w:pPr>
          </w:p>
        </w:tc>
        <w:tc>
          <w:tcPr>
            <w:tcW w:w="868" w:type="dxa"/>
            <w:shd w:val="clear" w:color="auto" w:fill="auto"/>
          </w:tcPr>
          <w:p w:rsidR="0063369D" w:rsidRPr="00BB4F56" w:rsidRDefault="00D64126" w:rsidP="00245038">
            <w:r>
              <w:t>x</w:t>
            </w:r>
          </w:p>
        </w:tc>
      </w:tr>
    </w:tbl>
    <w:p w:rsidR="00314197" w:rsidRPr="00BB4F56" w:rsidRDefault="00314197" w:rsidP="00F30893"/>
    <w:p w:rsidR="00314197" w:rsidRPr="00BB4F56" w:rsidRDefault="00314197" w:rsidP="00314197"/>
    <w:p w:rsidR="00314197" w:rsidRPr="00BB4F56" w:rsidRDefault="00314197" w:rsidP="00314197"/>
    <w:p w:rsidR="00670444" w:rsidRPr="00BB4F56" w:rsidRDefault="00670444" w:rsidP="00314197"/>
    <w:p w:rsidR="00670444" w:rsidRPr="00BB4F56" w:rsidRDefault="00670444" w:rsidP="00314197"/>
    <w:p w:rsidR="00670444" w:rsidRPr="00BB4F56" w:rsidRDefault="00670444" w:rsidP="00314197"/>
    <w:p w:rsidR="00670444" w:rsidRPr="00BB4F56" w:rsidRDefault="00670444" w:rsidP="00314197"/>
    <w:p w:rsidR="00F30893" w:rsidRPr="00BB4F56" w:rsidRDefault="00E32667" w:rsidP="00F30893">
      <w:r w:rsidRPr="00BB4F56">
        <w:t>-----------------------------------------------------------------------------------------------------------------</w:t>
      </w:r>
    </w:p>
    <w:p w:rsidR="00F30893" w:rsidRPr="00BB4F56" w:rsidRDefault="00F30893" w:rsidP="00F30893"/>
    <w:p w:rsidR="00F30893" w:rsidRPr="00BB4F56" w:rsidRDefault="00F30893" w:rsidP="00F30893"/>
    <w:p w:rsidR="00F30893" w:rsidRPr="00BB4F56" w:rsidRDefault="00F30893" w:rsidP="00F30893">
      <w:pPr>
        <w:jc w:val="right"/>
        <w:rPr>
          <w:b/>
        </w:rPr>
      </w:pPr>
      <w:r w:rsidRPr="00BB4F56">
        <w:rPr>
          <w:b/>
        </w:rPr>
        <w:t>Annex 1</w:t>
      </w:r>
    </w:p>
    <w:p w:rsidR="00F30893" w:rsidRPr="00BB4F56" w:rsidRDefault="00F30893" w:rsidP="00F30893">
      <w:r w:rsidRPr="00BB4F56">
        <w:t>Please list ACRONYMS used in the above template</w:t>
      </w:r>
    </w:p>
    <w:p w:rsidR="000D6546" w:rsidRPr="00BB4F56" w:rsidRDefault="000D6546"/>
    <w:sectPr w:rsidR="000D6546" w:rsidRPr="00BB4F56" w:rsidSect="00985AA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E3" w:rsidRDefault="007B6AE3">
      <w:r>
        <w:separator/>
      </w:r>
    </w:p>
  </w:endnote>
  <w:endnote w:type="continuationSeparator" w:id="0">
    <w:p w:rsidR="007B6AE3" w:rsidRDefault="007B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E3" w:rsidRDefault="007B6AE3">
      <w:r>
        <w:separator/>
      </w:r>
    </w:p>
  </w:footnote>
  <w:footnote w:type="continuationSeparator" w:id="0">
    <w:p w:rsidR="007B6AE3" w:rsidRDefault="007B6AE3">
      <w:r>
        <w:continuationSeparator/>
      </w:r>
    </w:p>
  </w:footnote>
  <w:footnote w:id="1">
    <w:p w:rsidR="00132C81" w:rsidRPr="00E363A2" w:rsidRDefault="00132C81">
      <w:pPr>
        <w:pStyle w:val="FootnoteText"/>
        <w:rPr>
          <w:lang w:val="en-IE"/>
        </w:rPr>
      </w:pPr>
      <w:r>
        <w:rPr>
          <w:rStyle w:val="FootnoteReference"/>
        </w:rPr>
        <w:footnoteRef/>
      </w:r>
      <w:r>
        <w:t xml:space="preserve"> Please use A</w:t>
      </w:r>
      <w:r w:rsidRPr="00E2080A">
        <w:t>nnex 1 to list all acronyms used in th</w:t>
      </w:r>
      <w:r>
        <w:t>is</w:t>
      </w:r>
      <w:r w:rsidRPr="00E2080A">
        <w:t xml:space="preserve"> </w:t>
      </w:r>
      <w:r w:rsidRPr="005F76DD">
        <w:t>template</w:t>
      </w:r>
    </w:p>
  </w:footnote>
  <w:footnote w:id="2">
    <w:p w:rsidR="00132C81" w:rsidRPr="00BF3BE9" w:rsidRDefault="00132C81">
      <w:pPr>
        <w:pStyle w:val="FootnoteText"/>
        <w:rPr>
          <w:lang w:val="en-US"/>
        </w:rPr>
      </w:pPr>
      <w:r>
        <w:rPr>
          <w:rStyle w:val="FootnoteReference"/>
        </w:rPr>
        <w:footnoteRef/>
      </w:r>
      <w:r>
        <w:t xml:space="preserve"> </w:t>
      </w:r>
      <w:r>
        <w:rPr>
          <w:rStyle w:val="FootnoteReference"/>
        </w:rPr>
        <w:footnoteRef/>
      </w:r>
      <w:r>
        <w:t xml:space="preserve"> </w:t>
      </w:r>
      <w:r w:rsidRPr="001415E7">
        <w:t>Explain what is the specific, unique role of EIFAAC compared to other groups/organisations that may deal with this subject, too? Has EIFAAC the role of being “</w:t>
      </w:r>
      <w:r>
        <w:t>lead agency</w:t>
      </w:r>
      <w:r w:rsidRPr="001415E7">
        <w:t xml:space="preserve">”, “participant” or </w:t>
      </w:r>
      <w:r>
        <w:t>other role</w:t>
      </w:r>
      <w:r w:rsidRPr="001415E7">
        <w:t>?</w:t>
      </w:r>
    </w:p>
  </w:footnote>
  <w:footnote w:id="3">
    <w:p w:rsidR="00132C81" w:rsidRPr="006B77A3" w:rsidRDefault="00132C81" w:rsidP="00C51D76">
      <w:pPr>
        <w:pStyle w:val="FootnoteText"/>
        <w:rPr>
          <w:lang w:val="en-US"/>
        </w:rPr>
      </w:pPr>
      <w:r w:rsidRPr="006B77A3">
        <w:rPr>
          <w:rStyle w:val="FootnoteReference"/>
        </w:rPr>
        <w:footnoteRef/>
      </w:r>
      <w:r>
        <w:t xml:space="preserve"> </w:t>
      </w:r>
      <w:r w:rsidRPr="006B77A3">
        <w:rPr>
          <w:lang w:val="en-US"/>
        </w:rPr>
        <w:t xml:space="preserve">Statement of </w:t>
      </w:r>
      <w:r>
        <w:rPr>
          <w:lang w:val="en-US"/>
        </w:rPr>
        <w:t>the</w:t>
      </w:r>
      <w:r w:rsidRPr="006B77A3">
        <w:rPr>
          <w:lang w:val="en-US"/>
        </w:rPr>
        <w:t xml:space="preserve"> </w:t>
      </w:r>
      <w:r>
        <w:rPr>
          <w:lang w:val="en-US"/>
        </w:rPr>
        <w:t>objective(</w:t>
      </w:r>
      <w:r w:rsidRPr="006B77A3">
        <w:rPr>
          <w:lang w:val="en-US"/>
        </w:rPr>
        <w:t>s</w:t>
      </w:r>
      <w:r>
        <w:rPr>
          <w:lang w:val="en-US"/>
        </w:rPr>
        <w:t xml:space="preserve">) (PLEASE NOTE: objectives need to be </w:t>
      </w:r>
      <w:r w:rsidRPr="007D5D22">
        <w:rPr>
          <w:b/>
          <w:lang w:val="en-US"/>
        </w:rPr>
        <w:t>SMART</w:t>
      </w:r>
      <w:r>
        <w:rPr>
          <w:lang w:val="en-US"/>
        </w:rPr>
        <w:t xml:space="preserve">: </w:t>
      </w:r>
      <w:r w:rsidRPr="00B864A9">
        <w:rPr>
          <w:b/>
          <w:lang w:val="en-US"/>
        </w:rPr>
        <w:t>S</w:t>
      </w:r>
      <w:r>
        <w:rPr>
          <w:lang w:val="en-US"/>
        </w:rPr>
        <w:t>pecific</w:t>
      </w:r>
      <w:proofErr w:type="gramStart"/>
      <w:r>
        <w:rPr>
          <w:lang w:val="en-US"/>
        </w:rPr>
        <w:t xml:space="preserve">,  </w:t>
      </w:r>
      <w:r>
        <w:rPr>
          <w:b/>
          <w:lang w:val="en-US"/>
        </w:rPr>
        <w:t>M</w:t>
      </w:r>
      <w:r>
        <w:rPr>
          <w:lang w:val="en-US"/>
        </w:rPr>
        <w:t>easurable</w:t>
      </w:r>
      <w:proofErr w:type="gramEnd"/>
      <w:r>
        <w:rPr>
          <w:lang w:val="en-US"/>
        </w:rPr>
        <w:t xml:space="preserve">,  </w:t>
      </w:r>
      <w:r>
        <w:rPr>
          <w:b/>
          <w:lang w:val="en-US"/>
        </w:rPr>
        <w:t>A</w:t>
      </w:r>
      <w:r>
        <w:rPr>
          <w:lang w:val="en-US"/>
        </w:rPr>
        <w:t xml:space="preserve">ttainable, </w:t>
      </w:r>
      <w:r>
        <w:rPr>
          <w:b/>
          <w:lang w:val="en-US"/>
        </w:rPr>
        <w:t>R</w:t>
      </w:r>
      <w:r>
        <w:rPr>
          <w:lang w:val="en-US"/>
        </w:rPr>
        <w:t xml:space="preserve">elevant and </w:t>
      </w:r>
      <w:r>
        <w:rPr>
          <w:b/>
          <w:lang w:val="en-US"/>
        </w:rPr>
        <w:t>T</w:t>
      </w:r>
      <w:r>
        <w:rPr>
          <w:lang w:val="en-US"/>
        </w:rPr>
        <w:t>ime-bound).</w:t>
      </w:r>
    </w:p>
  </w:footnote>
  <w:footnote w:id="4">
    <w:p w:rsidR="00132C81" w:rsidRPr="006B77A3" w:rsidRDefault="00132C81" w:rsidP="00F30893">
      <w:pPr>
        <w:pStyle w:val="FootnoteText"/>
        <w:rPr>
          <w:lang w:val="en-US"/>
        </w:rPr>
      </w:pPr>
      <w:r w:rsidRPr="006B77A3">
        <w:rPr>
          <w:rStyle w:val="FootnoteReference"/>
        </w:rPr>
        <w:footnoteRef/>
      </w:r>
      <w:r w:rsidRPr="006B77A3">
        <w:t xml:space="preserve"> </w:t>
      </w:r>
      <w:r w:rsidRPr="006B77A3">
        <w:rPr>
          <w:lang w:val="en-US"/>
        </w:rPr>
        <w:t>Reason for the project; why the project is important and key outcomes and stakeholders.</w:t>
      </w:r>
    </w:p>
  </w:footnote>
  <w:footnote w:id="5">
    <w:p w:rsidR="00132C81" w:rsidRPr="006B77A3" w:rsidRDefault="00132C81" w:rsidP="00F30893">
      <w:pPr>
        <w:pStyle w:val="FootnoteText"/>
        <w:rPr>
          <w:lang w:val="en-US"/>
        </w:rPr>
      </w:pPr>
      <w:r w:rsidRPr="006B77A3">
        <w:rPr>
          <w:vertAlign w:val="superscript"/>
          <w:lang w:val="en-US"/>
        </w:rPr>
        <w:footnoteRef/>
      </w:r>
      <w:r w:rsidRPr="006B77A3">
        <w:rPr>
          <w:vertAlign w:val="superscript"/>
          <w:lang w:val="en-US"/>
        </w:rPr>
        <w:t xml:space="preserve"> </w:t>
      </w:r>
      <w:r w:rsidRPr="006B77A3">
        <w:rPr>
          <w:lang w:val="en-US"/>
        </w:rPr>
        <w:t>e.g., serve as chair, report to appropriate bodies, set agenda and work plan, coordinate country reports and running of the meeting, edit report, edit draft advice.</w:t>
      </w:r>
    </w:p>
  </w:footnote>
  <w:footnote w:id="6">
    <w:p w:rsidR="00132C81" w:rsidRPr="006B77A3" w:rsidRDefault="00132C81" w:rsidP="00F30893">
      <w:pPr>
        <w:pStyle w:val="FootnoteText"/>
      </w:pPr>
      <w:r w:rsidRPr="006B77A3">
        <w:rPr>
          <w:rStyle w:val="FootnoteReference"/>
        </w:rPr>
        <w:footnoteRef/>
      </w:r>
      <w:r w:rsidRPr="006B77A3">
        <w:t xml:space="preserve"> Identify</w:t>
      </w:r>
      <w:r>
        <w:t xml:space="preserve"> potential</w:t>
      </w:r>
      <w:r w:rsidRPr="006B77A3">
        <w:t xml:space="preserve"> participants; include details of relevance of the participant to the project and the capacity in which participation is carried out.</w:t>
      </w:r>
    </w:p>
  </w:footnote>
  <w:footnote w:id="7">
    <w:p w:rsidR="00132C81" w:rsidRPr="00872CD2" w:rsidRDefault="00132C81">
      <w:pPr>
        <w:pStyle w:val="FootnoteText"/>
        <w:rPr>
          <w:lang w:val="en-US"/>
        </w:rPr>
      </w:pPr>
      <w:r>
        <w:rPr>
          <w:rStyle w:val="FootnoteReference"/>
        </w:rPr>
        <w:footnoteRef/>
      </w:r>
      <w:r>
        <w:t xml:space="preserve"> Expected/intended duration of the project</w:t>
      </w:r>
    </w:p>
  </w:footnote>
  <w:footnote w:id="8">
    <w:p w:rsidR="00132C81" w:rsidRPr="007A7F64" w:rsidRDefault="00132C81">
      <w:pPr>
        <w:pStyle w:val="FootnoteText"/>
        <w:rPr>
          <w:lang w:val="en-US"/>
        </w:rPr>
      </w:pPr>
      <w:r>
        <w:rPr>
          <w:rStyle w:val="FootnoteReference"/>
        </w:rPr>
        <w:footnoteRef/>
      </w:r>
      <w:r>
        <w:t xml:space="preserve"> List potential project deliverables; e.g. Policy guidelines; best-practice guidelines; recommendations; scientific report; project report; etc</w:t>
      </w:r>
    </w:p>
  </w:footnote>
  <w:footnote w:id="9">
    <w:p w:rsidR="00132C81" w:rsidRPr="006B77A3" w:rsidRDefault="00132C81" w:rsidP="00F30893">
      <w:pPr>
        <w:pStyle w:val="FootnoteText"/>
        <w:rPr>
          <w:lang w:val="en-US"/>
        </w:rPr>
      </w:pPr>
      <w:r w:rsidRPr="006B77A3">
        <w:rPr>
          <w:rStyle w:val="FootnoteReference"/>
        </w:rPr>
        <w:footnoteRef/>
      </w:r>
      <w:r w:rsidRPr="006B77A3">
        <w:t xml:space="preserve"> </w:t>
      </w:r>
      <w:r>
        <w:t xml:space="preserve">How the project work to be is conducted </w:t>
      </w:r>
      <w:r w:rsidRPr="006B77A3">
        <w:rPr>
          <w:lang w:val="en-US"/>
        </w:rPr>
        <w:t>e.g. meetings, workshops, literature review, research.</w:t>
      </w:r>
      <w:r>
        <w:rPr>
          <w:lang w:val="en-US"/>
        </w:rPr>
        <w:t xml:space="preserve"> A methodology should be provided for and closely linked with each of the objectives. </w:t>
      </w:r>
    </w:p>
  </w:footnote>
  <w:footnote w:id="10">
    <w:p w:rsidR="00132C81" w:rsidRPr="00350ADF" w:rsidRDefault="00132C81" w:rsidP="00ED02C4">
      <w:pPr>
        <w:pStyle w:val="FootnoteText"/>
      </w:pPr>
      <w:r>
        <w:rPr>
          <w:rStyle w:val="FootnoteReference"/>
        </w:rPr>
        <w:footnoteRef/>
      </w:r>
      <w:r>
        <w:t xml:space="preserve"> In relation to budget, a</w:t>
      </w:r>
      <w:r w:rsidRPr="00350ADF">
        <w:t xml:space="preserve">nswer each </w:t>
      </w:r>
      <w:r>
        <w:t xml:space="preserve">of the three categories </w:t>
      </w:r>
      <w:r w:rsidRPr="00350ADF">
        <w:t xml:space="preserve">with </w:t>
      </w:r>
      <w:r>
        <w:t>“</w:t>
      </w:r>
      <w:r w:rsidRPr="00350ADF">
        <w:t>yes</w:t>
      </w:r>
      <w:r>
        <w:t>”</w:t>
      </w:r>
      <w:r w:rsidRPr="00350ADF">
        <w:t xml:space="preserve"> or </w:t>
      </w:r>
      <w:r>
        <w:t>“</w:t>
      </w:r>
      <w:r w:rsidRPr="00350ADF">
        <w:t>no</w:t>
      </w:r>
      <w:r>
        <w:t>”, and provide details if appropriate/needed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C4E3B"/>
    <w:multiLevelType w:val="multilevel"/>
    <w:tmpl w:val="DF426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C24291B"/>
    <w:multiLevelType w:val="hybridMultilevel"/>
    <w:tmpl w:val="5BEE4246"/>
    <w:lvl w:ilvl="0" w:tplc="06F06D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21A5493"/>
    <w:multiLevelType w:val="multilevel"/>
    <w:tmpl w:val="1BA046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6D76B3E"/>
    <w:multiLevelType w:val="multilevel"/>
    <w:tmpl w:val="FF5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55"/>
    <w:rsid w:val="00023099"/>
    <w:rsid w:val="00025FFD"/>
    <w:rsid w:val="000345BF"/>
    <w:rsid w:val="00062943"/>
    <w:rsid w:val="00071C02"/>
    <w:rsid w:val="000732EF"/>
    <w:rsid w:val="00081668"/>
    <w:rsid w:val="00087F29"/>
    <w:rsid w:val="000A1C51"/>
    <w:rsid w:val="000B59A0"/>
    <w:rsid w:val="000D57D2"/>
    <w:rsid w:val="000D6546"/>
    <w:rsid w:val="000E32EC"/>
    <w:rsid w:val="000E56DB"/>
    <w:rsid w:val="000F58E7"/>
    <w:rsid w:val="000F7D1C"/>
    <w:rsid w:val="00112EEC"/>
    <w:rsid w:val="001255B5"/>
    <w:rsid w:val="00130742"/>
    <w:rsid w:val="00132C81"/>
    <w:rsid w:val="00133947"/>
    <w:rsid w:val="001A0625"/>
    <w:rsid w:val="002015BD"/>
    <w:rsid w:val="00215D54"/>
    <w:rsid w:val="00233D1E"/>
    <w:rsid w:val="00245038"/>
    <w:rsid w:val="002670A5"/>
    <w:rsid w:val="00267C4E"/>
    <w:rsid w:val="00274449"/>
    <w:rsid w:val="00275C50"/>
    <w:rsid w:val="00293D61"/>
    <w:rsid w:val="002A1286"/>
    <w:rsid w:val="002A4CCF"/>
    <w:rsid w:val="002B2EAB"/>
    <w:rsid w:val="002C0010"/>
    <w:rsid w:val="002E7FD9"/>
    <w:rsid w:val="00310A93"/>
    <w:rsid w:val="00314197"/>
    <w:rsid w:val="0032050F"/>
    <w:rsid w:val="00324396"/>
    <w:rsid w:val="00345831"/>
    <w:rsid w:val="00350ADF"/>
    <w:rsid w:val="00356384"/>
    <w:rsid w:val="00384204"/>
    <w:rsid w:val="003860BD"/>
    <w:rsid w:val="00396DD1"/>
    <w:rsid w:val="00397E2F"/>
    <w:rsid w:val="003A247E"/>
    <w:rsid w:val="003B5BD9"/>
    <w:rsid w:val="003E1ED6"/>
    <w:rsid w:val="003E6373"/>
    <w:rsid w:val="003E7195"/>
    <w:rsid w:val="003F1490"/>
    <w:rsid w:val="003F41C9"/>
    <w:rsid w:val="00400894"/>
    <w:rsid w:val="00414901"/>
    <w:rsid w:val="004168DD"/>
    <w:rsid w:val="00444C35"/>
    <w:rsid w:val="00450351"/>
    <w:rsid w:val="004605A8"/>
    <w:rsid w:val="004622AE"/>
    <w:rsid w:val="00463A25"/>
    <w:rsid w:val="00486DAB"/>
    <w:rsid w:val="00490171"/>
    <w:rsid w:val="004C1056"/>
    <w:rsid w:val="004D0770"/>
    <w:rsid w:val="004D1541"/>
    <w:rsid w:val="004D247D"/>
    <w:rsid w:val="004F4DE7"/>
    <w:rsid w:val="00504E68"/>
    <w:rsid w:val="005103BA"/>
    <w:rsid w:val="0051738B"/>
    <w:rsid w:val="00546384"/>
    <w:rsid w:val="00571FD9"/>
    <w:rsid w:val="00594F1F"/>
    <w:rsid w:val="005B0374"/>
    <w:rsid w:val="005C7360"/>
    <w:rsid w:val="005F0FE5"/>
    <w:rsid w:val="00620090"/>
    <w:rsid w:val="00622257"/>
    <w:rsid w:val="00627255"/>
    <w:rsid w:val="0063369D"/>
    <w:rsid w:val="006367A1"/>
    <w:rsid w:val="00657FDB"/>
    <w:rsid w:val="00670444"/>
    <w:rsid w:val="00677136"/>
    <w:rsid w:val="0068033C"/>
    <w:rsid w:val="00684AC0"/>
    <w:rsid w:val="00686466"/>
    <w:rsid w:val="006A3F81"/>
    <w:rsid w:val="006B33BA"/>
    <w:rsid w:val="006C4FBB"/>
    <w:rsid w:val="006D0C61"/>
    <w:rsid w:val="006D29F6"/>
    <w:rsid w:val="006E68D9"/>
    <w:rsid w:val="00715812"/>
    <w:rsid w:val="0071731C"/>
    <w:rsid w:val="007247DA"/>
    <w:rsid w:val="00736E1A"/>
    <w:rsid w:val="00766871"/>
    <w:rsid w:val="007A2117"/>
    <w:rsid w:val="007A2870"/>
    <w:rsid w:val="007A7F64"/>
    <w:rsid w:val="007B1699"/>
    <w:rsid w:val="007B6AE3"/>
    <w:rsid w:val="007D4213"/>
    <w:rsid w:val="007E144E"/>
    <w:rsid w:val="007E5FB8"/>
    <w:rsid w:val="00804149"/>
    <w:rsid w:val="008067B2"/>
    <w:rsid w:val="00826AFB"/>
    <w:rsid w:val="008375B4"/>
    <w:rsid w:val="008720C0"/>
    <w:rsid w:val="00872CD2"/>
    <w:rsid w:val="00875D27"/>
    <w:rsid w:val="00880727"/>
    <w:rsid w:val="008A09F0"/>
    <w:rsid w:val="008B094F"/>
    <w:rsid w:val="008B3138"/>
    <w:rsid w:val="008C2FC7"/>
    <w:rsid w:val="008C3EBE"/>
    <w:rsid w:val="008C7863"/>
    <w:rsid w:val="008D227C"/>
    <w:rsid w:val="008D7875"/>
    <w:rsid w:val="008E3C5E"/>
    <w:rsid w:val="009201AC"/>
    <w:rsid w:val="009423B0"/>
    <w:rsid w:val="00962AC1"/>
    <w:rsid w:val="00982712"/>
    <w:rsid w:val="00985AAB"/>
    <w:rsid w:val="00994B49"/>
    <w:rsid w:val="009A20C1"/>
    <w:rsid w:val="009D4C76"/>
    <w:rsid w:val="009F201B"/>
    <w:rsid w:val="00A22646"/>
    <w:rsid w:val="00A4320A"/>
    <w:rsid w:val="00A465F8"/>
    <w:rsid w:val="00A55306"/>
    <w:rsid w:val="00A642BA"/>
    <w:rsid w:val="00A77001"/>
    <w:rsid w:val="00A7734F"/>
    <w:rsid w:val="00A81A8A"/>
    <w:rsid w:val="00A859A0"/>
    <w:rsid w:val="00A97A5D"/>
    <w:rsid w:val="00AD6AC1"/>
    <w:rsid w:val="00AF065B"/>
    <w:rsid w:val="00B154F1"/>
    <w:rsid w:val="00B15C89"/>
    <w:rsid w:val="00B50CEF"/>
    <w:rsid w:val="00B62158"/>
    <w:rsid w:val="00B64B13"/>
    <w:rsid w:val="00B64B68"/>
    <w:rsid w:val="00B664C2"/>
    <w:rsid w:val="00B841E2"/>
    <w:rsid w:val="00B85B48"/>
    <w:rsid w:val="00B92598"/>
    <w:rsid w:val="00B96EFA"/>
    <w:rsid w:val="00BA00BE"/>
    <w:rsid w:val="00BB4F56"/>
    <w:rsid w:val="00BD51BF"/>
    <w:rsid w:val="00BE0258"/>
    <w:rsid w:val="00BE1C58"/>
    <w:rsid w:val="00BF1262"/>
    <w:rsid w:val="00BF3BE9"/>
    <w:rsid w:val="00C000C0"/>
    <w:rsid w:val="00C00476"/>
    <w:rsid w:val="00C145D2"/>
    <w:rsid w:val="00C15610"/>
    <w:rsid w:val="00C2163F"/>
    <w:rsid w:val="00C33F1D"/>
    <w:rsid w:val="00C51CAE"/>
    <w:rsid w:val="00C51D76"/>
    <w:rsid w:val="00CA38B6"/>
    <w:rsid w:val="00CC1B88"/>
    <w:rsid w:val="00CC594E"/>
    <w:rsid w:val="00CD35CB"/>
    <w:rsid w:val="00CF4261"/>
    <w:rsid w:val="00D25A21"/>
    <w:rsid w:val="00D512BF"/>
    <w:rsid w:val="00D62B7D"/>
    <w:rsid w:val="00D64126"/>
    <w:rsid w:val="00DD186E"/>
    <w:rsid w:val="00DD604A"/>
    <w:rsid w:val="00DD6391"/>
    <w:rsid w:val="00E00F9C"/>
    <w:rsid w:val="00E2041B"/>
    <w:rsid w:val="00E21E8E"/>
    <w:rsid w:val="00E32667"/>
    <w:rsid w:val="00E363A2"/>
    <w:rsid w:val="00E51166"/>
    <w:rsid w:val="00E57F53"/>
    <w:rsid w:val="00EB3E36"/>
    <w:rsid w:val="00EB5D36"/>
    <w:rsid w:val="00EB631F"/>
    <w:rsid w:val="00ED02C4"/>
    <w:rsid w:val="00ED2FD0"/>
    <w:rsid w:val="00EE48BE"/>
    <w:rsid w:val="00EE5079"/>
    <w:rsid w:val="00F0054B"/>
    <w:rsid w:val="00F2278D"/>
    <w:rsid w:val="00F30893"/>
    <w:rsid w:val="00F3641D"/>
    <w:rsid w:val="00F44695"/>
    <w:rsid w:val="00F53149"/>
    <w:rsid w:val="00F64C21"/>
    <w:rsid w:val="00F70E56"/>
    <w:rsid w:val="00F74618"/>
    <w:rsid w:val="00F91EB2"/>
    <w:rsid w:val="00FB6866"/>
    <w:rsid w:val="00FB77A4"/>
    <w:rsid w:val="00FE7499"/>
    <w:rsid w:val="00FE757D"/>
    <w:rsid w:val="00FF78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AB"/>
    <w:rPr>
      <w:sz w:val="24"/>
      <w:szCs w:val="24"/>
      <w:lang w:val="en-GB" w:eastAsia="en-US"/>
    </w:rPr>
  </w:style>
  <w:style w:type="paragraph" w:styleId="Heading3">
    <w:name w:val="heading 3"/>
    <w:basedOn w:val="Normal"/>
    <w:link w:val="Heading3Char"/>
    <w:uiPriority w:val="9"/>
    <w:qFormat/>
    <w:rsid w:val="008D7875"/>
    <w:pPr>
      <w:outlineLvl w:val="2"/>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AAB"/>
    <w:pPr>
      <w:tabs>
        <w:tab w:val="center" w:pos="4536"/>
        <w:tab w:val="right" w:pos="9072"/>
      </w:tabs>
    </w:pPr>
  </w:style>
  <w:style w:type="paragraph" w:styleId="Header">
    <w:name w:val="header"/>
    <w:basedOn w:val="Normal"/>
    <w:rsid w:val="00985AAB"/>
    <w:pPr>
      <w:tabs>
        <w:tab w:val="center" w:pos="4536"/>
        <w:tab w:val="right" w:pos="9072"/>
      </w:tabs>
    </w:pPr>
  </w:style>
  <w:style w:type="paragraph" w:styleId="FootnoteText">
    <w:name w:val="footnote text"/>
    <w:basedOn w:val="Normal"/>
    <w:link w:val="FootnoteTextChar"/>
    <w:semiHidden/>
    <w:rsid w:val="00F30893"/>
    <w:pPr>
      <w:jc w:val="both"/>
    </w:pPr>
    <w:rPr>
      <w:sz w:val="22"/>
      <w:szCs w:val="22"/>
      <w:lang w:eastAsia="en-GB"/>
    </w:rPr>
  </w:style>
  <w:style w:type="character" w:customStyle="1" w:styleId="FootnoteTextChar">
    <w:name w:val="Footnote Text Char"/>
    <w:link w:val="FootnoteText"/>
    <w:semiHidden/>
    <w:rsid w:val="00F30893"/>
    <w:rPr>
      <w:sz w:val="22"/>
      <w:szCs w:val="22"/>
      <w:lang w:val="en-GB" w:eastAsia="en-GB" w:bidi="ar-SA"/>
    </w:rPr>
  </w:style>
  <w:style w:type="character" w:styleId="FootnoteReference">
    <w:name w:val="footnote reference"/>
    <w:semiHidden/>
    <w:rsid w:val="00F30893"/>
    <w:rPr>
      <w:vertAlign w:val="superscript"/>
    </w:rPr>
  </w:style>
  <w:style w:type="paragraph" w:customStyle="1" w:styleId="CarCar1">
    <w:name w:val="Car Car1"/>
    <w:basedOn w:val="Normal"/>
    <w:rsid w:val="00F30893"/>
    <w:pPr>
      <w:jc w:val="both"/>
    </w:pPr>
    <w:rPr>
      <w:sz w:val="22"/>
      <w:szCs w:val="22"/>
      <w:lang w:val="en-US" w:eastAsia="pl-PL"/>
    </w:rPr>
  </w:style>
  <w:style w:type="character" w:styleId="Emphasis">
    <w:name w:val="Emphasis"/>
    <w:qFormat/>
    <w:rsid w:val="00274449"/>
    <w:rPr>
      <w:b/>
      <w:bCs/>
      <w:i w:val="0"/>
      <w:iCs w:val="0"/>
    </w:rPr>
  </w:style>
  <w:style w:type="character" w:styleId="Hyperlink">
    <w:name w:val="Hyperlink"/>
    <w:rsid w:val="00274449"/>
    <w:rPr>
      <w:color w:val="0000FF"/>
      <w:u w:val="single"/>
    </w:rPr>
  </w:style>
  <w:style w:type="paragraph" w:customStyle="1" w:styleId="Heading31">
    <w:name w:val="Heading 31"/>
    <w:basedOn w:val="Normal"/>
    <w:rsid w:val="00274449"/>
    <w:pPr>
      <w:outlineLvl w:val="3"/>
    </w:pPr>
    <w:rPr>
      <w:sz w:val="27"/>
      <w:szCs w:val="27"/>
      <w:lang w:val="en-US"/>
    </w:rPr>
  </w:style>
  <w:style w:type="character" w:styleId="Strong">
    <w:name w:val="Strong"/>
    <w:uiPriority w:val="22"/>
    <w:qFormat/>
    <w:rsid w:val="00274449"/>
    <w:rPr>
      <w:b/>
      <w:bCs/>
    </w:rPr>
  </w:style>
  <w:style w:type="paragraph" w:customStyle="1" w:styleId="Default">
    <w:name w:val="Default"/>
    <w:rsid w:val="00314197"/>
    <w:pPr>
      <w:autoSpaceDE w:val="0"/>
      <w:autoSpaceDN w:val="0"/>
      <w:adjustRightInd w:val="0"/>
      <w:jc w:val="both"/>
    </w:pPr>
    <w:rPr>
      <w:color w:val="000000"/>
      <w:sz w:val="24"/>
      <w:szCs w:val="24"/>
      <w:lang w:val="en-US" w:eastAsia="en-US"/>
    </w:rPr>
  </w:style>
  <w:style w:type="character" w:customStyle="1" w:styleId="Char1">
    <w:name w:val="Char1"/>
    <w:semiHidden/>
    <w:rsid w:val="00C51D76"/>
    <w:rPr>
      <w:sz w:val="22"/>
      <w:szCs w:val="22"/>
      <w:lang w:val="en-GB" w:eastAsia="en-GB" w:bidi="ar-SA"/>
    </w:rPr>
  </w:style>
  <w:style w:type="paragraph" w:styleId="BalloonText">
    <w:name w:val="Balloon Text"/>
    <w:basedOn w:val="Normal"/>
    <w:link w:val="BalloonTextChar"/>
    <w:uiPriority w:val="99"/>
    <w:semiHidden/>
    <w:unhideWhenUsed/>
    <w:rsid w:val="00E363A2"/>
    <w:rPr>
      <w:rFonts w:ascii="Tahoma" w:hAnsi="Tahoma"/>
      <w:sz w:val="16"/>
      <w:szCs w:val="16"/>
    </w:rPr>
  </w:style>
  <w:style w:type="character" w:customStyle="1" w:styleId="BalloonTextChar">
    <w:name w:val="Balloon Text Char"/>
    <w:link w:val="BalloonText"/>
    <w:uiPriority w:val="99"/>
    <w:semiHidden/>
    <w:rsid w:val="00E363A2"/>
    <w:rPr>
      <w:rFonts w:ascii="Tahoma" w:hAnsi="Tahoma" w:cs="Tahoma"/>
      <w:sz w:val="16"/>
      <w:szCs w:val="16"/>
      <w:lang w:val="en-GB"/>
    </w:rPr>
  </w:style>
  <w:style w:type="character" w:customStyle="1" w:styleId="Heading3Char">
    <w:name w:val="Heading 3 Char"/>
    <w:link w:val="Heading3"/>
    <w:uiPriority w:val="9"/>
    <w:rsid w:val="008D7875"/>
    <w:rPr>
      <w:sz w:val="30"/>
      <w:szCs w:val="30"/>
    </w:rPr>
  </w:style>
  <w:style w:type="character" w:styleId="CommentReference">
    <w:name w:val="annotation reference"/>
    <w:basedOn w:val="DefaultParagraphFont"/>
    <w:uiPriority w:val="99"/>
    <w:semiHidden/>
    <w:unhideWhenUsed/>
    <w:rsid w:val="00F70E56"/>
    <w:rPr>
      <w:sz w:val="16"/>
      <w:szCs w:val="16"/>
    </w:rPr>
  </w:style>
  <w:style w:type="paragraph" w:styleId="CommentText">
    <w:name w:val="annotation text"/>
    <w:basedOn w:val="Normal"/>
    <w:link w:val="CommentTextChar"/>
    <w:uiPriority w:val="99"/>
    <w:semiHidden/>
    <w:unhideWhenUsed/>
    <w:rsid w:val="00F70E56"/>
    <w:rPr>
      <w:sz w:val="20"/>
      <w:szCs w:val="20"/>
    </w:rPr>
  </w:style>
  <w:style w:type="character" w:customStyle="1" w:styleId="CommentTextChar">
    <w:name w:val="Comment Text Char"/>
    <w:basedOn w:val="DefaultParagraphFont"/>
    <w:link w:val="CommentText"/>
    <w:uiPriority w:val="99"/>
    <w:semiHidden/>
    <w:rsid w:val="00F70E56"/>
    <w:rPr>
      <w:lang w:val="en-GB" w:eastAsia="en-US"/>
    </w:rPr>
  </w:style>
  <w:style w:type="paragraph" w:styleId="CommentSubject">
    <w:name w:val="annotation subject"/>
    <w:basedOn w:val="CommentText"/>
    <w:next w:val="CommentText"/>
    <w:link w:val="CommentSubjectChar"/>
    <w:uiPriority w:val="99"/>
    <w:semiHidden/>
    <w:unhideWhenUsed/>
    <w:rsid w:val="00F70E56"/>
    <w:rPr>
      <w:b/>
      <w:bCs/>
    </w:rPr>
  </w:style>
  <w:style w:type="character" w:customStyle="1" w:styleId="CommentSubjectChar">
    <w:name w:val="Comment Subject Char"/>
    <w:basedOn w:val="CommentTextChar"/>
    <w:link w:val="CommentSubject"/>
    <w:uiPriority w:val="99"/>
    <w:semiHidden/>
    <w:rsid w:val="00F70E56"/>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AB"/>
    <w:rPr>
      <w:sz w:val="24"/>
      <w:szCs w:val="24"/>
      <w:lang w:val="en-GB" w:eastAsia="en-US"/>
    </w:rPr>
  </w:style>
  <w:style w:type="paragraph" w:styleId="Heading3">
    <w:name w:val="heading 3"/>
    <w:basedOn w:val="Normal"/>
    <w:link w:val="Heading3Char"/>
    <w:uiPriority w:val="9"/>
    <w:qFormat/>
    <w:rsid w:val="008D7875"/>
    <w:pPr>
      <w:outlineLvl w:val="2"/>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AAB"/>
    <w:pPr>
      <w:tabs>
        <w:tab w:val="center" w:pos="4536"/>
        <w:tab w:val="right" w:pos="9072"/>
      </w:tabs>
    </w:pPr>
  </w:style>
  <w:style w:type="paragraph" w:styleId="Header">
    <w:name w:val="header"/>
    <w:basedOn w:val="Normal"/>
    <w:rsid w:val="00985AAB"/>
    <w:pPr>
      <w:tabs>
        <w:tab w:val="center" w:pos="4536"/>
        <w:tab w:val="right" w:pos="9072"/>
      </w:tabs>
    </w:pPr>
  </w:style>
  <w:style w:type="paragraph" w:styleId="FootnoteText">
    <w:name w:val="footnote text"/>
    <w:basedOn w:val="Normal"/>
    <w:link w:val="FootnoteTextChar"/>
    <w:semiHidden/>
    <w:rsid w:val="00F30893"/>
    <w:pPr>
      <w:jc w:val="both"/>
    </w:pPr>
    <w:rPr>
      <w:sz w:val="22"/>
      <w:szCs w:val="22"/>
      <w:lang w:eastAsia="en-GB"/>
    </w:rPr>
  </w:style>
  <w:style w:type="character" w:customStyle="1" w:styleId="FootnoteTextChar">
    <w:name w:val="Footnote Text Char"/>
    <w:link w:val="FootnoteText"/>
    <w:semiHidden/>
    <w:rsid w:val="00F30893"/>
    <w:rPr>
      <w:sz w:val="22"/>
      <w:szCs w:val="22"/>
      <w:lang w:val="en-GB" w:eastAsia="en-GB" w:bidi="ar-SA"/>
    </w:rPr>
  </w:style>
  <w:style w:type="character" w:styleId="FootnoteReference">
    <w:name w:val="footnote reference"/>
    <w:semiHidden/>
    <w:rsid w:val="00F30893"/>
    <w:rPr>
      <w:vertAlign w:val="superscript"/>
    </w:rPr>
  </w:style>
  <w:style w:type="paragraph" w:customStyle="1" w:styleId="CarCar1">
    <w:name w:val="Car Car1"/>
    <w:basedOn w:val="Normal"/>
    <w:rsid w:val="00F30893"/>
    <w:pPr>
      <w:jc w:val="both"/>
    </w:pPr>
    <w:rPr>
      <w:sz w:val="22"/>
      <w:szCs w:val="22"/>
      <w:lang w:val="en-US" w:eastAsia="pl-PL"/>
    </w:rPr>
  </w:style>
  <w:style w:type="character" w:styleId="Emphasis">
    <w:name w:val="Emphasis"/>
    <w:qFormat/>
    <w:rsid w:val="00274449"/>
    <w:rPr>
      <w:b/>
      <w:bCs/>
      <w:i w:val="0"/>
      <w:iCs w:val="0"/>
    </w:rPr>
  </w:style>
  <w:style w:type="character" w:styleId="Hyperlink">
    <w:name w:val="Hyperlink"/>
    <w:rsid w:val="00274449"/>
    <w:rPr>
      <w:color w:val="0000FF"/>
      <w:u w:val="single"/>
    </w:rPr>
  </w:style>
  <w:style w:type="paragraph" w:customStyle="1" w:styleId="Heading31">
    <w:name w:val="Heading 31"/>
    <w:basedOn w:val="Normal"/>
    <w:rsid w:val="00274449"/>
    <w:pPr>
      <w:outlineLvl w:val="3"/>
    </w:pPr>
    <w:rPr>
      <w:sz w:val="27"/>
      <w:szCs w:val="27"/>
      <w:lang w:val="en-US"/>
    </w:rPr>
  </w:style>
  <w:style w:type="character" w:styleId="Strong">
    <w:name w:val="Strong"/>
    <w:uiPriority w:val="22"/>
    <w:qFormat/>
    <w:rsid w:val="00274449"/>
    <w:rPr>
      <w:b/>
      <w:bCs/>
    </w:rPr>
  </w:style>
  <w:style w:type="paragraph" w:customStyle="1" w:styleId="Default">
    <w:name w:val="Default"/>
    <w:rsid w:val="00314197"/>
    <w:pPr>
      <w:autoSpaceDE w:val="0"/>
      <w:autoSpaceDN w:val="0"/>
      <w:adjustRightInd w:val="0"/>
      <w:jc w:val="both"/>
    </w:pPr>
    <w:rPr>
      <w:color w:val="000000"/>
      <w:sz w:val="24"/>
      <w:szCs w:val="24"/>
      <w:lang w:val="en-US" w:eastAsia="en-US"/>
    </w:rPr>
  </w:style>
  <w:style w:type="character" w:customStyle="1" w:styleId="Char1">
    <w:name w:val="Char1"/>
    <w:semiHidden/>
    <w:rsid w:val="00C51D76"/>
    <w:rPr>
      <w:sz w:val="22"/>
      <w:szCs w:val="22"/>
      <w:lang w:val="en-GB" w:eastAsia="en-GB" w:bidi="ar-SA"/>
    </w:rPr>
  </w:style>
  <w:style w:type="paragraph" w:styleId="BalloonText">
    <w:name w:val="Balloon Text"/>
    <w:basedOn w:val="Normal"/>
    <w:link w:val="BalloonTextChar"/>
    <w:uiPriority w:val="99"/>
    <w:semiHidden/>
    <w:unhideWhenUsed/>
    <w:rsid w:val="00E363A2"/>
    <w:rPr>
      <w:rFonts w:ascii="Tahoma" w:hAnsi="Tahoma"/>
      <w:sz w:val="16"/>
      <w:szCs w:val="16"/>
    </w:rPr>
  </w:style>
  <w:style w:type="character" w:customStyle="1" w:styleId="BalloonTextChar">
    <w:name w:val="Balloon Text Char"/>
    <w:link w:val="BalloonText"/>
    <w:uiPriority w:val="99"/>
    <w:semiHidden/>
    <w:rsid w:val="00E363A2"/>
    <w:rPr>
      <w:rFonts w:ascii="Tahoma" w:hAnsi="Tahoma" w:cs="Tahoma"/>
      <w:sz w:val="16"/>
      <w:szCs w:val="16"/>
      <w:lang w:val="en-GB"/>
    </w:rPr>
  </w:style>
  <w:style w:type="character" w:customStyle="1" w:styleId="Heading3Char">
    <w:name w:val="Heading 3 Char"/>
    <w:link w:val="Heading3"/>
    <w:uiPriority w:val="9"/>
    <w:rsid w:val="008D7875"/>
    <w:rPr>
      <w:sz w:val="30"/>
      <w:szCs w:val="30"/>
    </w:rPr>
  </w:style>
  <w:style w:type="character" w:styleId="CommentReference">
    <w:name w:val="annotation reference"/>
    <w:basedOn w:val="DefaultParagraphFont"/>
    <w:uiPriority w:val="99"/>
    <w:semiHidden/>
    <w:unhideWhenUsed/>
    <w:rsid w:val="00F70E56"/>
    <w:rPr>
      <w:sz w:val="16"/>
      <w:szCs w:val="16"/>
    </w:rPr>
  </w:style>
  <w:style w:type="paragraph" w:styleId="CommentText">
    <w:name w:val="annotation text"/>
    <w:basedOn w:val="Normal"/>
    <w:link w:val="CommentTextChar"/>
    <w:uiPriority w:val="99"/>
    <w:semiHidden/>
    <w:unhideWhenUsed/>
    <w:rsid w:val="00F70E56"/>
    <w:rPr>
      <w:sz w:val="20"/>
      <w:szCs w:val="20"/>
    </w:rPr>
  </w:style>
  <w:style w:type="character" w:customStyle="1" w:styleId="CommentTextChar">
    <w:name w:val="Comment Text Char"/>
    <w:basedOn w:val="DefaultParagraphFont"/>
    <w:link w:val="CommentText"/>
    <w:uiPriority w:val="99"/>
    <w:semiHidden/>
    <w:rsid w:val="00F70E56"/>
    <w:rPr>
      <w:lang w:val="en-GB" w:eastAsia="en-US"/>
    </w:rPr>
  </w:style>
  <w:style w:type="paragraph" w:styleId="CommentSubject">
    <w:name w:val="annotation subject"/>
    <w:basedOn w:val="CommentText"/>
    <w:next w:val="CommentText"/>
    <w:link w:val="CommentSubjectChar"/>
    <w:uiPriority w:val="99"/>
    <w:semiHidden/>
    <w:unhideWhenUsed/>
    <w:rsid w:val="00F70E56"/>
    <w:rPr>
      <w:b/>
      <w:bCs/>
    </w:rPr>
  </w:style>
  <w:style w:type="character" w:customStyle="1" w:styleId="CommentSubjectChar">
    <w:name w:val="Comment Subject Char"/>
    <w:basedOn w:val="CommentTextChar"/>
    <w:link w:val="CommentSubject"/>
    <w:uiPriority w:val="99"/>
    <w:semiHidden/>
    <w:rsid w:val="00F70E5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862774">
      <w:bodyDiv w:val="1"/>
      <w:marLeft w:val="0"/>
      <w:marRight w:val="0"/>
      <w:marTop w:val="0"/>
      <w:marBottom w:val="0"/>
      <w:divBdr>
        <w:top w:val="none" w:sz="0" w:space="0" w:color="auto"/>
        <w:left w:val="none" w:sz="0" w:space="0" w:color="auto"/>
        <w:bottom w:val="none" w:sz="0" w:space="0" w:color="auto"/>
        <w:right w:val="none" w:sz="0" w:space="0" w:color="auto"/>
      </w:divBdr>
    </w:div>
    <w:div w:id="2144425376">
      <w:bodyDiv w:val="1"/>
      <w:marLeft w:val="0"/>
      <w:marRight w:val="0"/>
      <w:marTop w:val="0"/>
      <w:marBottom w:val="0"/>
      <w:divBdr>
        <w:top w:val="none" w:sz="0" w:space="0" w:color="auto"/>
        <w:left w:val="none" w:sz="0" w:space="0" w:color="auto"/>
        <w:bottom w:val="none" w:sz="0" w:space="0" w:color="auto"/>
        <w:right w:val="none" w:sz="0" w:space="0" w:color="auto"/>
      </w:divBdr>
      <w:divsChild>
        <w:div w:id="886526768">
          <w:marLeft w:val="0"/>
          <w:marRight w:val="0"/>
          <w:marTop w:val="0"/>
          <w:marBottom w:val="0"/>
          <w:divBdr>
            <w:top w:val="none" w:sz="0" w:space="0" w:color="auto"/>
            <w:left w:val="none" w:sz="0" w:space="0" w:color="auto"/>
            <w:bottom w:val="none" w:sz="0" w:space="0" w:color="auto"/>
            <w:right w:val="none" w:sz="0" w:space="0" w:color="auto"/>
          </w:divBdr>
          <w:divsChild>
            <w:div w:id="1559394654">
              <w:marLeft w:val="0"/>
              <w:marRight w:val="0"/>
              <w:marTop w:val="0"/>
              <w:marBottom w:val="0"/>
              <w:divBdr>
                <w:top w:val="none" w:sz="0" w:space="0" w:color="auto"/>
                <w:left w:val="none" w:sz="0" w:space="0" w:color="auto"/>
                <w:bottom w:val="none" w:sz="0" w:space="0" w:color="auto"/>
                <w:right w:val="none" w:sz="0" w:space="0" w:color="auto"/>
              </w:divBdr>
              <w:divsChild>
                <w:div w:id="1607811276">
                  <w:marLeft w:val="0"/>
                  <w:marRight w:val="0"/>
                  <w:marTop w:val="0"/>
                  <w:marBottom w:val="0"/>
                  <w:divBdr>
                    <w:top w:val="none" w:sz="0" w:space="0" w:color="auto"/>
                    <w:left w:val="none" w:sz="0" w:space="0" w:color="auto"/>
                    <w:bottom w:val="none" w:sz="0" w:space="0" w:color="auto"/>
                    <w:right w:val="none" w:sz="0" w:space="0" w:color="auto"/>
                  </w:divBdr>
                  <w:divsChild>
                    <w:div w:id="761804372">
                      <w:marLeft w:val="0"/>
                      <w:marRight w:val="0"/>
                      <w:marTop w:val="0"/>
                      <w:marBottom w:val="0"/>
                      <w:divBdr>
                        <w:top w:val="none" w:sz="0" w:space="0" w:color="auto"/>
                        <w:left w:val="none" w:sz="0" w:space="0" w:color="auto"/>
                        <w:bottom w:val="none" w:sz="0" w:space="0" w:color="auto"/>
                        <w:right w:val="none" w:sz="0" w:space="0" w:color="auto"/>
                      </w:divBdr>
                      <w:divsChild>
                        <w:div w:id="1350645048">
                          <w:marLeft w:val="0"/>
                          <w:marRight w:val="0"/>
                          <w:marTop w:val="0"/>
                          <w:marBottom w:val="0"/>
                          <w:divBdr>
                            <w:top w:val="none" w:sz="0" w:space="0" w:color="auto"/>
                            <w:left w:val="none" w:sz="0" w:space="0" w:color="auto"/>
                            <w:bottom w:val="none" w:sz="0" w:space="0" w:color="auto"/>
                            <w:right w:val="none" w:sz="0" w:space="0" w:color="auto"/>
                          </w:divBdr>
                          <w:divsChild>
                            <w:div w:id="1839416881">
                              <w:marLeft w:val="-225"/>
                              <w:marRight w:val="0"/>
                              <w:marTop w:val="0"/>
                              <w:marBottom w:val="0"/>
                              <w:divBdr>
                                <w:top w:val="none" w:sz="0" w:space="0" w:color="auto"/>
                                <w:left w:val="none" w:sz="0" w:space="0" w:color="auto"/>
                                <w:bottom w:val="none" w:sz="0" w:space="0" w:color="auto"/>
                                <w:right w:val="none" w:sz="0" w:space="0" w:color="auto"/>
                              </w:divBdr>
                              <w:divsChild>
                                <w:div w:id="1858078797">
                                  <w:marLeft w:val="0"/>
                                  <w:marRight w:val="0"/>
                                  <w:marTop w:val="0"/>
                                  <w:marBottom w:val="0"/>
                                  <w:divBdr>
                                    <w:top w:val="none" w:sz="0" w:space="0" w:color="auto"/>
                                    <w:left w:val="none" w:sz="0" w:space="0" w:color="auto"/>
                                    <w:bottom w:val="none" w:sz="0" w:space="0" w:color="auto"/>
                                    <w:right w:val="none" w:sz="0" w:space="0" w:color="auto"/>
                                  </w:divBdr>
                                  <w:divsChild>
                                    <w:div w:id="978345613">
                                      <w:marLeft w:val="0"/>
                                      <w:marRight w:val="0"/>
                                      <w:marTop w:val="0"/>
                                      <w:marBottom w:val="0"/>
                                      <w:divBdr>
                                        <w:top w:val="none" w:sz="0" w:space="0" w:color="auto"/>
                                        <w:left w:val="none" w:sz="0" w:space="0" w:color="auto"/>
                                        <w:bottom w:val="none" w:sz="0" w:space="0" w:color="auto"/>
                                        <w:right w:val="none" w:sz="0" w:space="0" w:color="auto"/>
                                      </w:divBdr>
                                      <w:divsChild>
                                        <w:div w:id="277222856">
                                          <w:marLeft w:val="0"/>
                                          <w:marRight w:val="0"/>
                                          <w:marTop w:val="0"/>
                                          <w:marBottom w:val="0"/>
                                          <w:divBdr>
                                            <w:top w:val="none" w:sz="0" w:space="0" w:color="auto"/>
                                            <w:left w:val="none" w:sz="0" w:space="0" w:color="auto"/>
                                            <w:bottom w:val="none" w:sz="0" w:space="0" w:color="auto"/>
                                            <w:right w:val="none" w:sz="0" w:space="0" w:color="auto"/>
                                          </w:divBdr>
                                          <w:divsChild>
                                            <w:div w:id="747926700">
                                              <w:marLeft w:val="0"/>
                                              <w:marRight w:val="0"/>
                                              <w:marTop w:val="0"/>
                                              <w:marBottom w:val="0"/>
                                              <w:divBdr>
                                                <w:top w:val="none" w:sz="0" w:space="0" w:color="auto"/>
                                                <w:left w:val="none" w:sz="0" w:space="0" w:color="auto"/>
                                                <w:bottom w:val="none" w:sz="0" w:space="0" w:color="auto"/>
                                                <w:right w:val="none" w:sz="0" w:space="0" w:color="auto"/>
                                              </w:divBdr>
                                              <w:divsChild>
                                                <w:div w:id="2052336828">
                                                  <w:marLeft w:val="0"/>
                                                  <w:marRight w:val="0"/>
                                                  <w:marTop w:val="0"/>
                                                  <w:marBottom w:val="0"/>
                                                  <w:divBdr>
                                                    <w:top w:val="none" w:sz="0" w:space="0" w:color="auto"/>
                                                    <w:left w:val="none" w:sz="0" w:space="0" w:color="auto"/>
                                                    <w:bottom w:val="none" w:sz="0" w:space="0" w:color="auto"/>
                                                    <w:right w:val="none" w:sz="0" w:space="0" w:color="auto"/>
                                                  </w:divBdr>
                                                  <w:divsChild>
                                                    <w:div w:id="8776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5160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European Inland Fisheries and Aquaculture Advisory Commission (EIFAAC)</vt:lpstr>
      <vt:lpstr>European Inland Fisheries and Aquaculture Advisory Commission (EIFAAC)</vt:lpstr>
    </vt:vector>
  </TitlesOfParts>
  <Company>FAO of the UN</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Inland Fisheries and Aquaculture Advisory Commission (EIFAAC)</dc:title>
  <dc:creator>Marmulla, Gerd (FIRF)</dc:creator>
  <cp:lastModifiedBy>Vehanen Teppo</cp:lastModifiedBy>
  <cp:revision>2</cp:revision>
  <cp:lastPrinted>2012-12-19T12:17:00Z</cp:lastPrinted>
  <dcterms:created xsi:type="dcterms:W3CDTF">2018-02-14T09:46:00Z</dcterms:created>
  <dcterms:modified xsi:type="dcterms:W3CDTF">2018-02-14T09:46:00Z</dcterms:modified>
</cp:coreProperties>
</file>