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4" w:type="dxa"/>
        <w:tblInd w:w="108" w:type="dxa"/>
        <w:tblLook w:val="0000" w:firstRow="0" w:lastRow="0" w:firstColumn="0" w:lastColumn="0" w:noHBand="0" w:noVBand="0"/>
      </w:tblPr>
      <w:tblGrid>
        <w:gridCol w:w="6514"/>
        <w:gridCol w:w="270"/>
        <w:gridCol w:w="2054"/>
        <w:gridCol w:w="856"/>
      </w:tblGrid>
      <w:tr w:rsidR="00620090" w:rsidRPr="00BB4F56">
        <w:trPr>
          <w:trHeight w:val="675"/>
        </w:trPr>
        <w:tc>
          <w:tcPr>
            <w:tcW w:w="6750" w:type="dxa"/>
            <w:tcBorders>
              <w:top w:val="nil"/>
              <w:left w:val="nil"/>
              <w:bottom w:val="nil"/>
              <w:right w:val="nil"/>
            </w:tcBorders>
            <w:shd w:val="clear" w:color="auto" w:fill="auto"/>
          </w:tcPr>
          <w:p w:rsidR="00620090" w:rsidRPr="00BB4F56" w:rsidRDefault="00620090">
            <w:pPr>
              <w:rPr>
                <w:rFonts w:ascii="Verdana" w:hAnsi="Verdana" w:cs="Arial"/>
                <w:b/>
                <w:bCs/>
                <w:color w:val="000000"/>
                <w:sz w:val="26"/>
                <w:szCs w:val="26"/>
              </w:rPr>
            </w:pPr>
            <w:r w:rsidRPr="00BB4F56">
              <w:rPr>
                <w:rFonts w:ascii="Verdana" w:hAnsi="Verdana" w:cs="Arial"/>
                <w:b/>
                <w:bCs/>
                <w:color w:val="000000"/>
                <w:sz w:val="26"/>
                <w:szCs w:val="26"/>
              </w:rPr>
              <w:t xml:space="preserve">European Inland Fisheries and Aquaculture Advisory Commission (EIFAAC) </w:t>
            </w:r>
          </w:p>
        </w:tc>
        <w:tc>
          <w:tcPr>
            <w:tcW w:w="272" w:type="dxa"/>
            <w:tcBorders>
              <w:top w:val="nil"/>
              <w:left w:val="nil"/>
              <w:bottom w:val="nil"/>
              <w:right w:val="nil"/>
            </w:tcBorders>
            <w:shd w:val="clear" w:color="auto" w:fill="auto"/>
          </w:tcPr>
          <w:p w:rsidR="00620090" w:rsidRPr="00BB4F56" w:rsidRDefault="00620090" w:rsidP="006D0C61">
            <w:pPr>
              <w:ind w:left="-196" w:firstLine="196"/>
              <w:rPr>
                <w:rFonts w:ascii="Verdana" w:hAnsi="Verdana" w:cs="Arial"/>
                <w:b/>
                <w:bCs/>
                <w:color w:val="000000"/>
                <w:sz w:val="26"/>
                <w:szCs w:val="26"/>
              </w:rPr>
            </w:pPr>
          </w:p>
        </w:tc>
        <w:tc>
          <w:tcPr>
            <w:tcW w:w="1816" w:type="dxa"/>
            <w:tcBorders>
              <w:top w:val="nil"/>
              <w:left w:val="nil"/>
              <w:bottom w:val="nil"/>
              <w:right w:val="nil"/>
            </w:tcBorders>
            <w:shd w:val="clear" w:color="auto" w:fill="auto"/>
            <w:noWrap/>
            <w:vAlign w:val="bottom"/>
          </w:tcPr>
          <w:p w:rsidR="00620090" w:rsidRPr="00BB4F56" w:rsidRDefault="008C2FC7">
            <w:pPr>
              <w:rPr>
                <w:rFonts w:ascii="Arial" w:hAnsi="Arial" w:cs="Arial"/>
                <w:sz w:val="16"/>
                <w:szCs w:val="16"/>
              </w:rPr>
            </w:pPr>
            <w:r>
              <w:rPr>
                <w:rFonts w:ascii="Arial" w:hAnsi="Arial" w:cs="Arial"/>
                <w:noProof/>
                <w:sz w:val="16"/>
                <w:szCs w:val="16"/>
                <w:lang w:val="fi-FI" w:eastAsia="fi-FI"/>
              </w:rPr>
              <w:drawing>
                <wp:inline distT="0" distB="0" distL="0" distR="0">
                  <wp:extent cx="1167130" cy="61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130" cy="611505"/>
                          </a:xfrm>
                          <a:prstGeom prst="rect">
                            <a:avLst/>
                          </a:prstGeom>
                          <a:noFill/>
                          <a:ln>
                            <a:noFill/>
                          </a:ln>
                        </pic:spPr>
                      </pic:pic>
                    </a:graphicData>
                  </a:graphic>
                </wp:inline>
              </w:drawing>
            </w:r>
          </w:p>
          <w:tbl>
            <w:tblPr>
              <w:tblW w:w="0" w:type="auto"/>
              <w:tblCellSpacing w:w="0" w:type="dxa"/>
              <w:tblCellMar>
                <w:left w:w="0" w:type="dxa"/>
                <w:right w:w="0" w:type="dxa"/>
              </w:tblCellMar>
              <w:tblLook w:val="0000" w:firstRow="0" w:lastRow="0" w:firstColumn="0" w:lastColumn="0" w:noHBand="0" w:noVBand="0"/>
            </w:tblPr>
            <w:tblGrid>
              <w:gridCol w:w="1600"/>
            </w:tblGrid>
            <w:tr w:rsidR="00620090" w:rsidRPr="00BB4F56">
              <w:trPr>
                <w:trHeight w:val="675"/>
                <w:tblCellSpacing w:w="0" w:type="dxa"/>
              </w:trPr>
              <w:tc>
                <w:tcPr>
                  <w:tcW w:w="1600" w:type="dxa"/>
                  <w:tcBorders>
                    <w:top w:val="nil"/>
                    <w:left w:val="nil"/>
                    <w:bottom w:val="nil"/>
                    <w:right w:val="nil"/>
                  </w:tcBorders>
                  <w:shd w:val="clear" w:color="auto" w:fill="auto"/>
                  <w:noWrap/>
                  <w:vAlign w:val="bottom"/>
                </w:tcPr>
                <w:p w:rsidR="00620090" w:rsidRPr="00BB4F56" w:rsidRDefault="00620090">
                  <w:pPr>
                    <w:rPr>
                      <w:rFonts w:ascii="Arial" w:hAnsi="Arial" w:cs="Arial"/>
                      <w:sz w:val="16"/>
                      <w:szCs w:val="16"/>
                    </w:rPr>
                  </w:pPr>
                </w:p>
              </w:tc>
            </w:tr>
          </w:tbl>
          <w:p w:rsidR="00620090" w:rsidRPr="00BB4F56" w:rsidRDefault="00620090">
            <w:pPr>
              <w:rPr>
                <w:rFonts w:ascii="Arial" w:hAnsi="Arial" w:cs="Arial"/>
                <w:sz w:val="16"/>
                <w:szCs w:val="16"/>
              </w:rPr>
            </w:pPr>
          </w:p>
        </w:tc>
        <w:tc>
          <w:tcPr>
            <w:tcW w:w="856" w:type="dxa"/>
            <w:tcBorders>
              <w:top w:val="nil"/>
              <w:left w:val="nil"/>
              <w:bottom w:val="nil"/>
              <w:right w:val="nil"/>
            </w:tcBorders>
            <w:shd w:val="clear" w:color="auto" w:fill="auto"/>
            <w:noWrap/>
            <w:vAlign w:val="bottom"/>
          </w:tcPr>
          <w:p w:rsidR="00620090" w:rsidRPr="00BB4F56" w:rsidRDefault="00620090">
            <w:pPr>
              <w:rPr>
                <w:rFonts w:ascii="Arial" w:hAnsi="Arial" w:cs="Arial"/>
                <w:sz w:val="16"/>
                <w:szCs w:val="16"/>
              </w:rPr>
            </w:pPr>
          </w:p>
        </w:tc>
      </w:tr>
    </w:tbl>
    <w:p w:rsidR="000D6546" w:rsidRPr="00BB4F56" w:rsidRDefault="000D6546"/>
    <w:p w:rsidR="00F30893" w:rsidRPr="00BB4F56" w:rsidRDefault="00F30893" w:rsidP="00C33F1D">
      <w:pPr>
        <w:rPr>
          <w:b/>
        </w:rPr>
      </w:pPr>
    </w:p>
    <w:p w:rsidR="00F30893" w:rsidRPr="00BB4F56" w:rsidRDefault="0071731C" w:rsidP="00F30893">
      <w:pPr>
        <w:jc w:val="center"/>
        <w:rPr>
          <w:rFonts w:ascii="Times New Roman Bold" w:hAnsi="Times New Roman Bold"/>
          <w:b/>
          <w:sz w:val="26"/>
          <w:szCs w:val="26"/>
        </w:rPr>
      </w:pPr>
      <w:r w:rsidRPr="00BB4F56">
        <w:rPr>
          <w:rFonts w:ascii="Times New Roman Bold" w:hAnsi="Times New Roman Bold"/>
          <w:b/>
          <w:sz w:val="26"/>
          <w:szCs w:val="26"/>
        </w:rPr>
        <w:t xml:space="preserve">EIFAAC PROJECT </w:t>
      </w:r>
    </w:p>
    <w:p w:rsidR="00571FD9" w:rsidRPr="00BB4F56" w:rsidRDefault="00571FD9" w:rsidP="00F30893">
      <w:pPr>
        <w:jc w:val="center"/>
        <w:rPr>
          <w:rFonts w:ascii="Times New Roman Bold" w:hAnsi="Times New Roman Bold"/>
          <w:b/>
          <w:sz w:val="26"/>
          <w:szCs w:val="26"/>
        </w:rPr>
      </w:pPr>
    </w:p>
    <w:p w:rsidR="00571FD9" w:rsidRPr="00BB4F56" w:rsidRDefault="00CA38B6" w:rsidP="00A7734F">
      <w:pPr>
        <w:rPr>
          <w:rFonts w:ascii="Times New Roman Bold" w:hAnsi="Times New Roman Bold"/>
          <w:b/>
          <w:sz w:val="26"/>
          <w:szCs w:val="26"/>
        </w:rPr>
      </w:pPr>
      <w:r w:rsidRPr="00BB4F56">
        <w:rPr>
          <w:rFonts w:ascii="Times New Roman Bold" w:hAnsi="Times New Roman Bold"/>
          <w:b/>
          <w:sz w:val="26"/>
          <w:szCs w:val="26"/>
        </w:rPr>
        <w:t>TITLE</w:t>
      </w:r>
      <w:r w:rsidR="00E363A2">
        <w:rPr>
          <w:rStyle w:val="FootnoteReference"/>
          <w:rFonts w:ascii="Times New Roman Bold" w:hAnsi="Times New Roman Bold"/>
          <w:b/>
          <w:sz w:val="26"/>
          <w:szCs w:val="26"/>
        </w:rPr>
        <w:footnoteReference w:id="1"/>
      </w:r>
      <w:r w:rsidR="00571FD9" w:rsidRPr="00BB4F56">
        <w:rPr>
          <w:rFonts w:ascii="Times New Roman Bold" w:hAnsi="Times New Roman Bold"/>
          <w:b/>
          <w:sz w:val="26"/>
          <w:szCs w:val="26"/>
        </w:rPr>
        <w:t>:</w:t>
      </w:r>
      <w:r w:rsidR="00875D27">
        <w:rPr>
          <w:rFonts w:ascii="Times New Roman Bold" w:hAnsi="Times New Roman Bold"/>
          <w:b/>
          <w:sz w:val="26"/>
          <w:szCs w:val="26"/>
        </w:rPr>
        <w:t xml:space="preserve">  </w:t>
      </w:r>
      <w:bookmarkStart w:id="0" w:name="_GoBack"/>
      <w:r w:rsidR="00875D27">
        <w:rPr>
          <w:rFonts w:ascii="Times New Roman Bold" w:hAnsi="Times New Roman Bold"/>
          <w:b/>
          <w:sz w:val="26"/>
          <w:szCs w:val="26"/>
        </w:rPr>
        <w:t>Management</w:t>
      </w:r>
      <w:r w:rsidR="007E144E">
        <w:rPr>
          <w:rFonts w:ascii="Times New Roman Bold" w:hAnsi="Times New Roman Bold"/>
          <w:b/>
          <w:sz w:val="26"/>
          <w:szCs w:val="26"/>
        </w:rPr>
        <w:t>/</w:t>
      </w:r>
      <w:r w:rsidR="00C00476">
        <w:rPr>
          <w:rFonts w:ascii="Times New Roman Bold" w:hAnsi="Times New Roman Bold"/>
          <w:b/>
          <w:sz w:val="26"/>
          <w:szCs w:val="26"/>
        </w:rPr>
        <w:t xml:space="preserve">Threat </w:t>
      </w:r>
      <w:r w:rsidR="004168DD">
        <w:rPr>
          <w:rFonts w:ascii="Times New Roman Bold" w:hAnsi="Times New Roman Bold"/>
          <w:b/>
          <w:sz w:val="26"/>
          <w:szCs w:val="26"/>
        </w:rPr>
        <w:t xml:space="preserve">of </w:t>
      </w:r>
      <w:r w:rsidR="00875D27">
        <w:rPr>
          <w:rFonts w:ascii="Times New Roman Bold" w:hAnsi="Times New Roman Bold"/>
          <w:b/>
          <w:sz w:val="26"/>
          <w:szCs w:val="26"/>
        </w:rPr>
        <w:t xml:space="preserve">Aquatic Invasive Species in </w:t>
      </w:r>
      <w:r w:rsidR="00062943">
        <w:rPr>
          <w:rFonts w:ascii="Times New Roman Bold" w:hAnsi="Times New Roman Bold"/>
          <w:b/>
          <w:sz w:val="26"/>
          <w:szCs w:val="26"/>
        </w:rPr>
        <w:t>E</w:t>
      </w:r>
      <w:r w:rsidR="00875D27">
        <w:rPr>
          <w:rFonts w:ascii="Times New Roman Bold" w:hAnsi="Times New Roman Bold"/>
          <w:b/>
          <w:sz w:val="26"/>
          <w:szCs w:val="26"/>
        </w:rPr>
        <w:t>urope</w:t>
      </w:r>
      <w:r w:rsidR="004168DD">
        <w:rPr>
          <w:rFonts w:ascii="Times New Roman Bold" w:hAnsi="Times New Roman Bold"/>
          <w:b/>
          <w:sz w:val="26"/>
          <w:szCs w:val="26"/>
        </w:rPr>
        <w:t xml:space="preserve"> </w:t>
      </w:r>
      <w:bookmarkEnd w:id="0"/>
    </w:p>
    <w:p w:rsidR="00F30893" w:rsidRPr="00BB4F56" w:rsidRDefault="00F30893" w:rsidP="00F30893">
      <w:pPr>
        <w:jc w:val="center"/>
        <w:rPr>
          <w:b/>
        </w:rPr>
      </w:pPr>
    </w:p>
    <w:tbl>
      <w:tblPr>
        <w:tblW w:w="958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369"/>
        <w:gridCol w:w="2849"/>
        <w:gridCol w:w="3369"/>
      </w:tblGrid>
      <w:tr w:rsidR="00F30893" w:rsidRPr="00BB4F56">
        <w:trPr>
          <w:jc w:val="center"/>
        </w:trPr>
        <w:tc>
          <w:tcPr>
            <w:tcW w:w="9587" w:type="dxa"/>
            <w:gridSpan w:val="3"/>
            <w:tcBorders>
              <w:top w:val="double" w:sz="6" w:space="0" w:color="000000"/>
              <w:bottom w:val="single" w:sz="6" w:space="0" w:color="000000"/>
            </w:tcBorders>
            <w:shd w:val="clear" w:color="auto" w:fill="D9D9D9"/>
          </w:tcPr>
          <w:p w:rsidR="00F30893" w:rsidRPr="00BB4F56" w:rsidRDefault="00F30893" w:rsidP="00F30893">
            <w:pPr>
              <w:jc w:val="center"/>
              <w:rPr>
                <w:b/>
              </w:rPr>
            </w:pPr>
            <w:r w:rsidRPr="00BB4F56">
              <w:rPr>
                <w:b/>
              </w:rPr>
              <w:t>PRELIMINARY</w:t>
            </w:r>
          </w:p>
        </w:tc>
      </w:tr>
      <w:tr w:rsidR="00F30893" w:rsidRPr="00BB4F56">
        <w:trPr>
          <w:jc w:val="center"/>
        </w:trPr>
        <w:tc>
          <w:tcPr>
            <w:tcW w:w="3369" w:type="dxa"/>
            <w:tcBorders>
              <w:top w:val="single" w:sz="6" w:space="0" w:color="000000"/>
            </w:tcBorders>
            <w:shd w:val="clear" w:color="auto" w:fill="auto"/>
          </w:tcPr>
          <w:p w:rsidR="00F30893" w:rsidRPr="00BB4F56" w:rsidRDefault="00F30893" w:rsidP="00F30893">
            <w:pPr>
              <w:rPr>
                <w:b/>
              </w:rPr>
            </w:pPr>
            <w:r w:rsidRPr="00BB4F56">
              <w:rPr>
                <w:b/>
              </w:rPr>
              <w:t>a.  Owner</w:t>
            </w:r>
          </w:p>
        </w:tc>
        <w:tc>
          <w:tcPr>
            <w:tcW w:w="6218" w:type="dxa"/>
            <w:gridSpan w:val="2"/>
            <w:tcBorders>
              <w:top w:val="single" w:sz="6" w:space="0" w:color="000000"/>
            </w:tcBorders>
            <w:shd w:val="clear" w:color="auto" w:fill="auto"/>
          </w:tcPr>
          <w:p w:rsidR="00F30893" w:rsidRPr="00BB4F56" w:rsidRDefault="004168DD" w:rsidP="00F30893">
            <w:r>
              <w:t>EIFAAC</w:t>
            </w:r>
          </w:p>
        </w:tc>
      </w:tr>
      <w:tr w:rsidR="00F30893" w:rsidRPr="00BB4F56">
        <w:trPr>
          <w:jc w:val="center"/>
        </w:trPr>
        <w:tc>
          <w:tcPr>
            <w:tcW w:w="3369" w:type="dxa"/>
            <w:shd w:val="clear" w:color="auto" w:fill="auto"/>
          </w:tcPr>
          <w:p w:rsidR="00F30893" w:rsidRPr="00BB4F56" w:rsidRDefault="00F30893" w:rsidP="00F30893">
            <w:pPr>
              <w:rPr>
                <w:b/>
              </w:rPr>
            </w:pPr>
            <w:r w:rsidRPr="00BB4F56">
              <w:rPr>
                <w:b/>
              </w:rPr>
              <w:t>b.  Role of  EIFAAC</w:t>
            </w:r>
            <w:r w:rsidR="00E363A2">
              <w:rPr>
                <w:rStyle w:val="FootnoteReference"/>
                <w:b/>
              </w:rPr>
              <w:footnoteReference w:id="2"/>
            </w:r>
          </w:p>
        </w:tc>
        <w:tc>
          <w:tcPr>
            <w:tcW w:w="6218" w:type="dxa"/>
            <w:gridSpan w:val="2"/>
            <w:shd w:val="clear" w:color="auto" w:fill="auto"/>
          </w:tcPr>
          <w:p w:rsidR="00F30893" w:rsidRPr="00BB4F56" w:rsidRDefault="002E7FD9" w:rsidP="00450351">
            <w:r>
              <w:t xml:space="preserve">EIFAAC is uniquely positioned to address the issues </w:t>
            </w:r>
            <w:r w:rsidR="00450351">
              <w:t xml:space="preserve">associated with aquatic invasive species </w:t>
            </w:r>
            <w:r>
              <w:t xml:space="preserve">and </w:t>
            </w:r>
            <w:r w:rsidR="00450351">
              <w:t xml:space="preserve">to </w:t>
            </w:r>
            <w:r>
              <w:t>offer advice</w:t>
            </w:r>
            <w:r w:rsidR="00450351">
              <w:t xml:space="preserve"> to its member states, </w:t>
            </w:r>
            <w:proofErr w:type="gramStart"/>
            <w:r w:rsidR="00450351">
              <w:t>who</w:t>
            </w:r>
            <w:proofErr w:type="gramEnd"/>
            <w:r w:rsidR="00450351">
              <w:t xml:space="preserve"> </w:t>
            </w:r>
            <w:r w:rsidR="00875D27">
              <w:t xml:space="preserve">are </w:t>
            </w:r>
            <w:r>
              <w:t>geographically</w:t>
            </w:r>
            <w:r w:rsidR="00875D27">
              <w:t xml:space="preserve"> and</w:t>
            </w:r>
            <w:r>
              <w:t xml:space="preserve"> climatic</w:t>
            </w:r>
            <w:r w:rsidR="00875D27">
              <w:t>ally</w:t>
            </w:r>
            <w:r>
              <w:t xml:space="preserve"> spread and </w:t>
            </w:r>
            <w:r w:rsidR="00875D27">
              <w:t>manage diverse aquatic environ</w:t>
            </w:r>
            <w:r>
              <w:t>ments.</w:t>
            </w:r>
            <w:r w:rsidR="00450351">
              <w:t xml:space="preserve"> Information gleaned through EIFAAC projects can be disseminated to a wider audience, including the EU.</w:t>
            </w:r>
          </w:p>
        </w:tc>
      </w:tr>
      <w:tr w:rsidR="00F30893" w:rsidRPr="00BB4F56">
        <w:trPr>
          <w:jc w:val="center"/>
        </w:trPr>
        <w:tc>
          <w:tcPr>
            <w:tcW w:w="9587" w:type="dxa"/>
            <w:gridSpan w:val="3"/>
            <w:tcBorders>
              <w:top w:val="single" w:sz="6" w:space="0" w:color="000000"/>
              <w:bottom w:val="single" w:sz="6" w:space="0" w:color="000000"/>
            </w:tcBorders>
            <w:shd w:val="clear" w:color="auto" w:fill="D9D9D9"/>
          </w:tcPr>
          <w:p w:rsidR="00F30893" w:rsidRPr="00BB4F56" w:rsidRDefault="00F30893" w:rsidP="00F30893">
            <w:pPr>
              <w:jc w:val="center"/>
              <w:rPr>
                <w:b/>
              </w:rPr>
            </w:pPr>
            <w:r w:rsidRPr="00BB4F56">
              <w:rPr>
                <w:b/>
              </w:rPr>
              <w:t xml:space="preserve">1.  OBJECTIVE </w:t>
            </w:r>
            <w:smartTag w:uri="urn:schemas-microsoft-com:office:smarttags" w:element="stockticker">
              <w:r w:rsidRPr="00BB4F56">
                <w:rPr>
                  <w:b/>
                </w:rPr>
                <w:t>AND</w:t>
              </w:r>
            </w:smartTag>
            <w:r w:rsidRPr="00BB4F56">
              <w:rPr>
                <w:b/>
              </w:rPr>
              <w:t xml:space="preserve"> EXPECTED OUTCOME</w:t>
            </w:r>
          </w:p>
          <w:p w:rsidR="00A55306" w:rsidRPr="000E56DB" w:rsidRDefault="00A55306" w:rsidP="00F30893">
            <w:pPr>
              <w:jc w:val="center"/>
              <w:rPr>
                <w:b/>
                <w:color w:val="FF0000"/>
              </w:rPr>
            </w:pPr>
          </w:p>
        </w:tc>
      </w:tr>
      <w:tr w:rsidR="00F30893" w:rsidRPr="00BB4F56">
        <w:trPr>
          <w:jc w:val="center"/>
        </w:trPr>
        <w:tc>
          <w:tcPr>
            <w:tcW w:w="3369" w:type="dxa"/>
            <w:tcBorders>
              <w:top w:val="single" w:sz="6" w:space="0" w:color="000000"/>
            </w:tcBorders>
            <w:shd w:val="clear" w:color="auto" w:fill="auto"/>
            <w:vAlign w:val="center"/>
          </w:tcPr>
          <w:p w:rsidR="00F30893" w:rsidRPr="00BB4F56" w:rsidRDefault="00F30893" w:rsidP="00F30893">
            <w:pPr>
              <w:rPr>
                <w:b/>
              </w:rPr>
            </w:pPr>
            <w:r w:rsidRPr="00BB4F56">
              <w:rPr>
                <w:b/>
              </w:rPr>
              <w:t>1.1</w:t>
            </w:r>
            <w:r w:rsidRPr="00BB4F56">
              <w:rPr>
                <w:b/>
              </w:rPr>
              <w:tab/>
              <w:t>Purpose</w:t>
            </w:r>
          </w:p>
        </w:tc>
        <w:tc>
          <w:tcPr>
            <w:tcW w:w="6218" w:type="dxa"/>
            <w:gridSpan w:val="2"/>
            <w:tcBorders>
              <w:top w:val="single" w:sz="6" w:space="0" w:color="000000"/>
            </w:tcBorders>
            <w:shd w:val="clear" w:color="auto" w:fill="auto"/>
          </w:tcPr>
          <w:p w:rsidR="00BD51BF" w:rsidRPr="00BB4F56" w:rsidRDefault="00BD51BF" w:rsidP="00274449">
            <w:pPr>
              <w:jc w:val="both"/>
              <w:rPr>
                <w:color w:val="1F497D"/>
              </w:rPr>
            </w:pPr>
          </w:p>
          <w:p w:rsidR="00274449" w:rsidRPr="00BF3BE9" w:rsidRDefault="00875D27" w:rsidP="00274449">
            <w:pPr>
              <w:jc w:val="both"/>
            </w:pPr>
            <w:r w:rsidRPr="00BF3BE9">
              <w:t>To develop</w:t>
            </w:r>
            <w:r w:rsidR="006D29F6" w:rsidRPr="00BF3BE9">
              <w:t>,</w:t>
            </w:r>
            <w:r w:rsidRPr="00BF3BE9">
              <w:t xml:space="preserve"> process and </w:t>
            </w:r>
            <w:r w:rsidR="006D29F6" w:rsidRPr="00BF3BE9">
              <w:t xml:space="preserve">provide </w:t>
            </w:r>
            <w:r w:rsidRPr="000E56DB">
              <w:rPr>
                <w:b/>
              </w:rPr>
              <w:t>guidelines</w:t>
            </w:r>
            <w:r w:rsidRPr="00BF3BE9">
              <w:t xml:space="preserve"> to support member states in addressing the threat and reality of aquatic invasive species, using best international processes and practice.</w:t>
            </w:r>
            <w:r w:rsidR="00CC594E" w:rsidRPr="00BF3BE9">
              <w:t xml:space="preserve"> </w:t>
            </w:r>
            <w:r w:rsidR="00657FDB">
              <w:t xml:space="preserve">These guidelines will take the form of </w:t>
            </w:r>
            <w:r w:rsidR="002015BD">
              <w:t xml:space="preserve">published conference proceedings, </w:t>
            </w:r>
            <w:r w:rsidR="00657FDB">
              <w:t>best practice publications</w:t>
            </w:r>
            <w:r w:rsidR="002015BD">
              <w:t xml:space="preserve"> and other relevant aids. </w:t>
            </w:r>
            <w:r w:rsidR="00062943">
              <w:t xml:space="preserve">The </w:t>
            </w:r>
            <w:r w:rsidR="00ED2FD0">
              <w:t>project goals listed</w:t>
            </w:r>
            <w:r w:rsidR="00062943">
              <w:t xml:space="preserve"> below are closely allied to EIFAAC Strategic Objectives I to IV in Appendix A. Specific p</w:t>
            </w:r>
            <w:r w:rsidR="00CC594E" w:rsidRPr="00BF3BE9">
              <w:t>roject goals include:</w:t>
            </w:r>
          </w:p>
          <w:p w:rsidR="00CC594E" w:rsidRDefault="00CC594E" w:rsidP="00CC594E">
            <w:r>
              <w:t xml:space="preserve">- the development of a coordinated European </w:t>
            </w:r>
            <w:r w:rsidRPr="000E56DB">
              <w:rPr>
                <w:b/>
              </w:rPr>
              <w:t xml:space="preserve">policy </w:t>
            </w:r>
            <w:r>
              <w:t xml:space="preserve">to tackle the threats </w:t>
            </w:r>
            <w:r w:rsidR="002015BD">
              <w:t xml:space="preserve">to fisheries and to native biodiversity </w:t>
            </w:r>
            <w:r>
              <w:t xml:space="preserve">posed by </w:t>
            </w:r>
            <w:r w:rsidR="002015BD">
              <w:t xml:space="preserve">aquatic </w:t>
            </w:r>
            <w:r>
              <w:t xml:space="preserve">invasive species; </w:t>
            </w:r>
          </w:p>
          <w:p w:rsidR="00CC594E" w:rsidRDefault="00CC594E" w:rsidP="00CC594E">
            <w:r>
              <w:t xml:space="preserve">the </w:t>
            </w:r>
            <w:r w:rsidRPr="000E56DB">
              <w:rPr>
                <w:b/>
              </w:rPr>
              <w:t>compilation</w:t>
            </w:r>
            <w:r>
              <w:t xml:space="preserve"> of a Europe-wide </w:t>
            </w:r>
            <w:r w:rsidRPr="000E56DB">
              <w:rPr>
                <w:b/>
              </w:rPr>
              <w:t>expert network</w:t>
            </w:r>
            <w:r>
              <w:t xml:space="preserve"> to provide assistance regarding identification, control and management</w:t>
            </w:r>
            <w:r w:rsidR="002015BD">
              <w:t>,</w:t>
            </w:r>
            <w:r>
              <w:t xml:space="preserve"> </w:t>
            </w:r>
            <w:r w:rsidR="002015BD">
              <w:t>and possibly</w:t>
            </w:r>
            <w:r>
              <w:t xml:space="preserve"> economic aspects associated with aquatic invasive species;</w:t>
            </w:r>
          </w:p>
          <w:p w:rsidR="00CC594E" w:rsidRDefault="00CC594E" w:rsidP="00CC594E">
            <w:r>
              <w:t xml:space="preserve">- the development of a Europe-wide </w:t>
            </w:r>
            <w:r w:rsidRPr="000E56DB">
              <w:rPr>
                <w:b/>
              </w:rPr>
              <w:t>inventory</w:t>
            </w:r>
            <w:r>
              <w:t xml:space="preserve"> of existing aquatic invasive species and a coordinated strategy to provide timely alerts in respect of imminent threats to member states where some of these invasives do not occur; </w:t>
            </w:r>
          </w:p>
          <w:p w:rsidR="00062943" w:rsidRDefault="00CC594E" w:rsidP="00CC594E">
            <w:r>
              <w:t xml:space="preserve">- the development of </w:t>
            </w:r>
            <w:r w:rsidRPr="000E56DB">
              <w:rPr>
                <w:b/>
              </w:rPr>
              <w:t>best practice</w:t>
            </w:r>
            <w:r>
              <w:t xml:space="preserve"> in relation to rapid reaction protocols;</w:t>
            </w:r>
            <w:r w:rsidR="004168DD">
              <w:t xml:space="preserve"> </w:t>
            </w:r>
          </w:p>
          <w:p w:rsidR="00CC594E" w:rsidRDefault="00CC594E" w:rsidP="00CC594E">
            <w:r>
              <w:t xml:space="preserve">- the sharing of </w:t>
            </w:r>
            <w:r w:rsidRPr="000E56DB">
              <w:rPr>
                <w:b/>
              </w:rPr>
              <w:t>research results</w:t>
            </w:r>
            <w:r>
              <w:t xml:space="preserve"> relating to the control or </w:t>
            </w:r>
            <w:r>
              <w:lastRenderedPageBreak/>
              <w:t>eradication of aquatic invasive species;</w:t>
            </w:r>
          </w:p>
          <w:p w:rsidR="002015BD" w:rsidRDefault="00CC594E" w:rsidP="00CC594E">
            <w:r>
              <w:t xml:space="preserve">- the development of international </w:t>
            </w:r>
            <w:r w:rsidRPr="000E56DB">
              <w:rPr>
                <w:b/>
              </w:rPr>
              <w:t>best practice</w:t>
            </w:r>
            <w:r>
              <w:t xml:space="preserve"> for biosecurity, with particular emphasis on the specific needs of island nations viz. border controls</w:t>
            </w:r>
            <w:r w:rsidR="002015BD">
              <w:t xml:space="preserve"> and </w:t>
            </w:r>
            <w:r>
              <w:t>free passage of goods</w:t>
            </w:r>
            <w:r w:rsidR="002015BD">
              <w:t>.</w:t>
            </w:r>
          </w:p>
          <w:p w:rsidR="00CC594E" w:rsidRDefault="002015BD" w:rsidP="00CC594E">
            <w:r>
              <w:t xml:space="preserve">- </w:t>
            </w:r>
            <w:r w:rsidR="00C145D2">
              <w:t xml:space="preserve">consideration will be given to </w:t>
            </w:r>
            <w:r>
              <w:t xml:space="preserve">the development of </w:t>
            </w:r>
            <w:r w:rsidRPr="00A642BA">
              <w:rPr>
                <w:b/>
              </w:rPr>
              <w:t>tools</w:t>
            </w:r>
            <w:r>
              <w:t xml:space="preserve"> to quantify the impact of aquatic invasive species </w:t>
            </w:r>
            <w:r w:rsidR="000345BF">
              <w:t>on</w:t>
            </w:r>
            <w:r>
              <w:t xml:space="preserve"> fisheries ecosystems.</w:t>
            </w:r>
            <w:r w:rsidR="00CC594E">
              <w:t xml:space="preserve"> </w:t>
            </w:r>
          </w:p>
          <w:p w:rsidR="00F30893" w:rsidRPr="00BB4F56" w:rsidRDefault="00F30893" w:rsidP="00F30893"/>
        </w:tc>
      </w:tr>
      <w:tr w:rsidR="00BA00BE" w:rsidRPr="00BB4F56">
        <w:trPr>
          <w:jc w:val="center"/>
        </w:trPr>
        <w:tc>
          <w:tcPr>
            <w:tcW w:w="3369" w:type="dxa"/>
            <w:tcBorders>
              <w:top w:val="single" w:sz="6" w:space="0" w:color="000000"/>
            </w:tcBorders>
            <w:shd w:val="clear" w:color="auto" w:fill="auto"/>
            <w:vAlign w:val="center"/>
          </w:tcPr>
          <w:p w:rsidR="00BA00BE" w:rsidRDefault="00BA00BE" w:rsidP="00F30893">
            <w:pPr>
              <w:rPr>
                <w:b/>
              </w:rPr>
            </w:pPr>
            <w:r w:rsidRPr="00BB4F56">
              <w:rPr>
                <w:b/>
              </w:rPr>
              <w:lastRenderedPageBreak/>
              <w:t>1.2</w:t>
            </w:r>
            <w:r w:rsidR="00C51D76" w:rsidRPr="00BB4F56">
              <w:rPr>
                <w:b/>
              </w:rPr>
              <w:t xml:space="preserve">       Objective</w:t>
            </w:r>
            <w:r w:rsidR="00ED2FD0">
              <w:rPr>
                <w:b/>
              </w:rPr>
              <w:t>s</w:t>
            </w:r>
            <w:r w:rsidR="00C51D76" w:rsidRPr="00BB4F56">
              <w:rPr>
                <w:rStyle w:val="FootnoteReference"/>
              </w:rPr>
              <w:footnoteReference w:id="3"/>
            </w:r>
          </w:p>
          <w:p w:rsidR="004168DD" w:rsidRPr="00BB4F56" w:rsidRDefault="004168DD" w:rsidP="00F30893">
            <w:pPr>
              <w:rPr>
                <w:b/>
              </w:rPr>
            </w:pPr>
          </w:p>
        </w:tc>
        <w:tc>
          <w:tcPr>
            <w:tcW w:w="6218" w:type="dxa"/>
            <w:gridSpan w:val="2"/>
            <w:tcBorders>
              <w:top w:val="single" w:sz="6" w:space="0" w:color="000000"/>
            </w:tcBorders>
            <w:shd w:val="clear" w:color="auto" w:fill="auto"/>
          </w:tcPr>
          <w:p w:rsidR="00ED2FD0" w:rsidRDefault="00ED2FD0" w:rsidP="00ED2FD0">
            <w:pPr>
              <w:jc w:val="both"/>
            </w:pPr>
            <w:r>
              <w:t xml:space="preserve">1: </w:t>
            </w:r>
            <w:r w:rsidR="008B094F">
              <w:t xml:space="preserve">To convene a conference of </w:t>
            </w:r>
            <w:r w:rsidR="00C51CAE">
              <w:t xml:space="preserve">aquatic </w:t>
            </w:r>
            <w:r w:rsidR="008B094F">
              <w:t xml:space="preserve">invasive species managers, scientists and policy makers from EIFAAC countries and from farther afield to drive the objectives below, by Q2 2013.  </w:t>
            </w:r>
          </w:p>
          <w:p w:rsidR="008B094F" w:rsidRDefault="00ED2FD0" w:rsidP="00ED2FD0">
            <w:pPr>
              <w:jc w:val="both"/>
            </w:pPr>
            <w:r>
              <w:t xml:space="preserve">2: </w:t>
            </w:r>
            <w:r w:rsidR="00C51CAE">
              <w:t xml:space="preserve">To inform the development of the pending EU Invasive Species Strategy </w:t>
            </w:r>
            <w:r w:rsidR="00DD6391">
              <w:t xml:space="preserve">(which may result in the development of a European Directive), </w:t>
            </w:r>
            <w:r w:rsidR="00C51CAE">
              <w:t>by Q2 2013.</w:t>
            </w:r>
            <w:r w:rsidR="00594F1F">
              <w:t xml:space="preserve"> The conference proceedings will detail the outcomes from detailed workshop sessions and </w:t>
            </w:r>
            <w:r w:rsidR="000345BF">
              <w:t>will aim to</w:t>
            </w:r>
            <w:r w:rsidR="00594F1F">
              <w:t xml:space="preserve"> directly influence the draft Strategy. In addition, an oral presentation of the outcomes from the conference and workshops </w:t>
            </w:r>
            <w:r w:rsidR="000345BF">
              <w:t>will</w:t>
            </w:r>
            <w:r w:rsidR="00594F1F">
              <w:t xml:space="preserve"> be offered to the authors of this document. </w:t>
            </w:r>
          </w:p>
          <w:p w:rsidR="00ED2FD0" w:rsidRDefault="008B094F" w:rsidP="00ED2FD0">
            <w:pPr>
              <w:jc w:val="both"/>
            </w:pPr>
            <w:r>
              <w:t xml:space="preserve">3: </w:t>
            </w:r>
            <w:r w:rsidR="00C51CAE">
              <w:t xml:space="preserve">To </w:t>
            </w:r>
            <w:r w:rsidR="008067B2">
              <w:t xml:space="preserve">develop a coordinated approach to </w:t>
            </w:r>
            <w:r w:rsidR="00C51CAE">
              <w:t>forecast</w:t>
            </w:r>
            <w:r w:rsidR="008067B2">
              <w:t>ing</w:t>
            </w:r>
            <w:r w:rsidR="00C51CAE">
              <w:t xml:space="preserve"> (using best Risk Analysis practice) aquatic invasive species invasions, by Q</w:t>
            </w:r>
            <w:r w:rsidR="008067B2">
              <w:t>4</w:t>
            </w:r>
            <w:r w:rsidR="00C51CAE">
              <w:t xml:space="preserve"> </w:t>
            </w:r>
            <w:r w:rsidR="000345BF">
              <w:t>2015</w:t>
            </w:r>
            <w:r w:rsidR="00C51CAE">
              <w:t xml:space="preserve">. </w:t>
            </w:r>
          </w:p>
          <w:p w:rsidR="008B094F" w:rsidRDefault="008B094F" w:rsidP="00ED2FD0">
            <w:pPr>
              <w:jc w:val="both"/>
            </w:pPr>
            <w:r>
              <w:t xml:space="preserve">4: </w:t>
            </w:r>
            <w:r w:rsidR="00C51CAE">
              <w:t xml:space="preserve">To produce an effective deterrent to the advance of aquatic invasive species. This will involve harmonising alert, rapid reaction, control and management, and mitigation programmes that currently exist in member countries, by Q4 </w:t>
            </w:r>
            <w:r w:rsidR="000345BF">
              <w:t>2015</w:t>
            </w:r>
            <w:r w:rsidR="00C51CAE">
              <w:t>.</w:t>
            </w:r>
          </w:p>
          <w:p w:rsidR="008B094F" w:rsidRDefault="008B094F" w:rsidP="00ED2FD0">
            <w:pPr>
              <w:jc w:val="both"/>
            </w:pPr>
            <w:r>
              <w:t xml:space="preserve">5: </w:t>
            </w:r>
            <w:r w:rsidR="00C51CAE">
              <w:t xml:space="preserve">To develop and coordinate international biosecurity protocols and approaches within Europe, by Q4 </w:t>
            </w:r>
            <w:r w:rsidR="000345BF">
              <w:t>2015</w:t>
            </w:r>
            <w:r w:rsidR="00C51CAE">
              <w:t>.</w:t>
            </w:r>
          </w:p>
          <w:p w:rsidR="00ED2FD0" w:rsidRDefault="00ED2FD0" w:rsidP="00ED2FD0">
            <w:pPr>
              <w:jc w:val="both"/>
            </w:pPr>
          </w:p>
          <w:p w:rsidR="00BA00BE" w:rsidRPr="00BF3BE9" w:rsidRDefault="00BA00BE" w:rsidP="00ED2FD0">
            <w:pPr>
              <w:jc w:val="both"/>
            </w:pPr>
          </w:p>
        </w:tc>
      </w:tr>
      <w:tr w:rsidR="00F30893" w:rsidRPr="00BB4F56">
        <w:trPr>
          <w:jc w:val="center"/>
        </w:trPr>
        <w:tc>
          <w:tcPr>
            <w:tcW w:w="3369" w:type="dxa"/>
            <w:shd w:val="clear" w:color="auto" w:fill="auto"/>
            <w:vAlign w:val="center"/>
          </w:tcPr>
          <w:p w:rsidR="00F30893" w:rsidRPr="00BB4F56" w:rsidRDefault="00F30893" w:rsidP="00F30893">
            <w:pPr>
              <w:rPr>
                <w:b/>
              </w:rPr>
            </w:pPr>
            <w:r w:rsidRPr="00BB4F56">
              <w:rPr>
                <w:b/>
              </w:rPr>
              <w:t>1.</w:t>
            </w:r>
            <w:r w:rsidR="00BA00BE" w:rsidRPr="00BB4F56">
              <w:rPr>
                <w:b/>
              </w:rPr>
              <w:t>3</w:t>
            </w:r>
            <w:r w:rsidRPr="00BB4F56">
              <w:rPr>
                <w:b/>
              </w:rPr>
              <w:t xml:space="preserve"> </w:t>
            </w:r>
            <w:r w:rsidRPr="00BB4F56">
              <w:rPr>
                <w:b/>
              </w:rPr>
              <w:tab/>
              <w:t>Rationale</w:t>
            </w:r>
            <w:r w:rsidRPr="00BB4F56">
              <w:rPr>
                <w:rStyle w:val="FootnoteReference"/>
              </w:rPr>
              <w:footnoteReference w:id="4"/>
            </w:r>
          </w:p>
        </w:tc>
        <w:tc>
          <w:tcPr>
            <w:tcW w:w="6218" w:type="dxa"/>
            <w:gridSpan w:val="2"/>
            <w:shd w:val="clear" w:color="auto" w:fill="auto"/>
          </w:tcPr>
          <w:p w:rsidR="006D29F6" w:rsidRDefault="006D29F6" w:rsidP="008D7875">
            <w:pPr>
              <w:jc w:val="both"/>
            </w:pPr>
            <w:r>
              <w:t xml:space="preserve">In Europe there is </w:t>
            </w:r>
            <w:r w:rsidR="00677136">
              <w:t xml:space="preserve">currently </w:t>
            </w:r>
            <w:r>
              <w:t xml:space="preserve">no concerted strategy to tackle aquatic invasive species. </w:t>
            </w:r>
            <w:r w:rsidR="000345BF">
              <w:t xml:space="preserve">Many </w:t>
            </w:r>
            <w:r w:rsidR="00677136">
              <w:t xml:space="preserve">European </w:t>
            </w:r>
            <w:r w:rsidR="000345BF">
              <w:t>countries have their</w:t>
            </w:r>
            <w:r>
              <w:t xml:space="preserve"> own alert, rapid reaction, control and management, and overall mitigation programmes but </w:t>
            </w:r>
            <w:r w:rsidR="000345BF">
              <w:t>no attempt to</w:t>
            </w:r>
            <w:r w:rsidRPr="00C51CAE">
              <w:t xml:space="preserve"> </w:t>
            </w:r>
            <w:r w:rsidR="000345BF" w:rsidRPr="00C51CAE">
              <w:t>harmonize</w:t>
            </w:r>
            <w:r w:rsidR="000345BF">
              <w:t xml:space="preserve"> these in order </w:t>
            </w:r>
            <w:r>
              <w:t>to produce an effective and efficient deterrent to the advancing plight of aquatic invasive species</w:t>
            </w:r>
            <w:r w:rsidR="000345BF">
              <w:t xml:space="preserve"> has been made</w:t>
            </w:r>
            <w:r>
              <w:t xml:space="preserve">. </w:t>
            </w:r>
            <w:r w:rsidR="000345BF">
              <w:t>Ireland is uniquely placed to host an international conference on aquatic invasive species as we are an island nation on the western edge of Europe and, currently have a relatively small number of high priority aquatic invasive species.</w:t>
            </w:r>
            <w:r w:rsidR="00677136">
              <w:t xml:space="preserve"> </w:t>
            </w:r>
            <w:r>
              <w:t>Th</w:t>
            </w:r>
            <w:r w:rsidR="00C51CAE">
              <w:t>e proposed</w:t>
            </w:r>
            <w:r>
              <w:t xml:space="preserve"> conference will provide the mechanism or conduit to </w:t>
            </w:r>
            <w:r w:rsidR="00982712">
              <w:t>establish</w:t>
            </w:r>
            <w:r w:rsidR="00677136">
              <w:t xml:space="preserve"> a network of European</w:t>
            </w:r>
            <w:r>
              <w:t xml:space="preserve"> invasive species expert</w:t>
            </w:r>
            <w:r w:rsidR="00677136">
              <w:t>s</w:t>
            </w:r>
            <w:r>
              <w:t>,</w:t>
            </w:r>
            <w:r w:rsidR="00677136">
              <w:t xml:space="preserve"> with </w:t>
            </w:r>
            <w:r w:rsidR="00982712">
              <w:t>support</w:t>
            </w:r>
            <w:r w:rsidR="00677136">
              <w:t xml:space="preserve"> from EIFAAC.</w:t>
            </w:r>
            <w:r w:rsidR="004168DD">
              <w:t xml:space="preserve"> </w:t>
            </w:r>
            <w:r w:rsidR="00982712">
              <w:t xml:space="preserve">This </w:t>
            </w:r>
            <w:r w:rsidR="00486DAB">
              <w:t>sh</w:t>
            </w:r>
            <w:r w:rsidR="00982712">
              <w:t xml:space="preserve">ould take the form of an EIFAAC panel that </w:t>
            </w:r>
            <w:proofErr w:type="gramStart"/>
            <w:r w:rsidR="00486DAB">
              <w:t>be</w:t>
            </w:r>
            <w:proofErr w:type="gramEnd"/>
            <w:r w:rsidR="00486DAB">
              <w:t xml:space="preserve"> an integral part of this </w:t>
            </w:r>
            <w:r w:rsidR="00486DAB">
              <w:lastRenderedPageBreak/>
              <w:t xml:space="preserve">group. </w:t>
            </w:r>
            <w:r w:rsidR="00677136">
              <w:t xml:space="preserve">This expert network will contribute to the attainment of the above objectives. </w:t>
            </w:r>
          </w:p>
          <w:p w:rsidR="00486DAB" w:rsidRDefault="006D29F6" w:rsidP="00486DAB">
            <w:pPr>
              <w:jc w:val="both"/>
            </w:pPr>
            <w:r w:rsidRPr="00215D54">
              <w:t xml:space="preserve">In addition, </w:t>
            </w:r>
            <w:r w:rsidR="00486DAB">
              <w:t xml:space="preserve">this expert group will assist in the development and coordination of </w:t>
            </w:r>
            <w:r w:rsidR="00DD6391">
              <w:t>i</w:t>
            </w:r>
            <w:r w:rsidR="008D7875" w:rsidRPr="00215D54">
              <w:t xml:space="preserve">nternational </w:t>
            </w:r>
            <w:r w:rsidR="00DD6391">
              <w:t>b</w:t>
            </w:r>
            <w:r w:rsidR="008D7875" w:rsidRPr="00215D54">
              <w:t xml:space="preserve">iosecurity </w:t>
            </w:r>
            <w:r w:rsidR="008D7875" w:rsidRPr="00DD6391">
              <w:t>protocols</w:t>
            </w:r>
            <w:r w:rsidR="00486DAB">
              <w:t>.</w:t>
            </w:r>
            <w:r w:rsidR="008D7875" w:rsidRPr="00DD6391">
              <w:t xml:space="preserve"> </w:t>
            </w:r>
          </w:p>
          <w:p w:rsidR="00F30893" w:rsidRPr="00215D54" w:rsidRDefault="008D7875" w:rsidP="00486DAB">
            <w:pPr>
              <w:jc w:val="both"/>
            </w:pPr>
            <w:r w:rsidRPr="00215D54">
              <w:t xml:space="preserve">The EU Invasive Species </w:t>
            </w:r>
            <w:r w:rsidR="00DD6391">
              <w:t>S</w:t>
            </w:r>
            <w:r w:rsidRPr="00215D54">
              <w:t xml:space="preserve">trategy may result in </w:t>
            </w:r>
            <w:r w:rsidRPr="00DD6391">
              <w:t xml:space="preserve">development </w:t>
            </w:r>
            <w:r w:rsidR="008067B2" w:rsidRPr="00DD6391">
              <w:t>of a Directive</w:t>
            </w:r>
            <w:r w:rsidRPr="00215D54">
              <w:t xml:space="preserve"> in this </w:t>
            </w:r>
            <w:r w:rsidR="008067B2">
              <w:t xml:space="preserve">area </w:t>
            </w:r>
            <w:r w:rsidR="006D29F6" w:rsidRPr="00215D54">
              <w:t>and</w:t>
            </w:r>
            <w:r w:rsidR="00677136">
              <w:t xml:space="preserve">, using the international expertise garnered from the conference and beyond, </w:t>
            </w:r>
            <w:r w:rsidRPr="00215D54">
              <w:t>EIFA</w:t>
            </w:r>
            <w:r w:rsidR="006D29F6" w:rsidRPr="00215D54">
              <w:t>A</w:t>
            </w:r>
            <w:r w:rsidRPr="00215D54">
              <w:t xml:space="preserve">C should </w:t>
            </w:r>
            <w:r w:rsidR="00677136">
              <w:t xml:space="preserve">be in a </w:t>
            </w:r>
            <w:r w:rsidRPr="00215D54">
              <w:t xml:space="preserve">position </w:t>
            </w:r>
            <w:r w:rsidR="00677136">
              <w:t>to play a major role in its development and implementation</w:t>
            </w:r>
            <w:r w:rsidRPr="00215D54">
              <w:t xml:space="preserve">. </w:t>
            </w:r>
            <w:r w:rsidR="00B96EFA">
              <w:t>Towards this end, the project team will engage with the EU to assess what role it (and EIFAAC) can play.</w:t>
            </w:r>
          </w:p>
        </w:tc>
      </w:tr>
      <w:tr w:rsidR="00F30893" w:rsidRPr="00BB4F56">
        <w:trPr>
          <w:jc w:val="center"/>
        </w:trPr>
        <w:tc>
          <w:tcPr>
            <w:tcW w:w="3369" w:type="dxa"/>
            <w:tcBorders>
              <w:bottom w:val="single" w:sz="6" w:space="0" w:color="000000"/>
            </w:tcBorders>
            <w:shd w:val="clear" w:color="auto" w:fill="auto"/>
            <w:vAlign w:val="center"/>
          </w:tcPr>
          <w:p w:rsidR="00F30893" w:rsidRPr="00BB4F56" w:rsidRDefault="00F30893" w:rsidP="00F30893">
            <w:pPr>
              <w:rPr>
                <w:b/>
              </w:rPr>
            </w:pPr>
            <w:r w:rsidRPr="00BB4F56">
              <w:rPr>
                <w:b/>
              </w:rPr>
              <w:lastRenderedPageBreak/>
              <w:t>1.</w:t>
            </w:r>
            <w:r w:rsidR="00BA00BE" w:rsidRPr="00BB4F56">
              <w:rPr>
                <w:b/>
              </w:rPr>
              <w:t>4</w:t>
            </w:r>
            <w:r w:rsidRPr="00BB4F56">
              <w:rPr>
                <w:b/>
              </w:rPr>
              <w:t xml:space="preserve"> </w:t>
            </w:r>
            <w:r w:rsidRPr="00BB4F56">
              <w:rPr>
                <w:b/>
              </w:rPr>
              <w:tab/>
              <w:t>Benefits</w:t>
            </w:r>
          </w:p>
        </w:tc>
        <w:tc>
          <w:tcPr>
            <w:tcW w:w="6218" w:type="dxa"/>
            <w:gridSpan w:val="2"/>
            <w:tcBorders>
              <w:bottom w:val="single" w:sz="6" w:space="0" w:color="000000"/>
            </w:tcBorders>
            <w:shd w:val="clear" w:color="auto" w:fill="auto"/>
          </w:tcPr>
          <w:p w:rsidR="00CC594E" w:rsidRDefault="00CC594E" w:rsidP="00CC594E">
            <w:r>
              <w:t xml:space="preserve">Emerging from this conference, in addition to peer-reviewed papers that were presented at the event, will be a collective expertise and commitment to tackle aquatic invasive species in a concerted and Europe-wide manner. </w:t>
            </w:r>
            <w:r w:rsidR="008067B2">
              <w:t>It is intended that i</w:t>
            </w:r>
            <w:r>
              <w:t xml:space="preserve">nternational committees </w:t>
            </w:r>
            <w:r w:rsidR="003E6373">
              <w:t>(network in 1.1)</w:t>
            </w:r>
            <w:r w:rsidR="00B96EFA">
              <w:t>, with direct EIFAAC involvement,</w:t>
            </w:r>
            <w:r w:rsidR="008067B2">
              <w:t xml:space="preserve"> </w:t>
            </w:r>
            <w:r w:rsidR="00B96EFA">
              <w:t>will be established</w:t>
            </w:r>
            <w:r w:rsidR="00B96EFA" w:rsidDel="00B96EFA">
              <w:t xml:space="preserve"> </w:t>
            </w:r>
            <w:r w:rsidR="00B96EFA">
              <w:t xml:space="preserve">to </w:t>
            </w:r>
            <w:r>
              <w:t>deliberate on targeted problems, with specific timelines for delivery of results.</w:t>
            </w:r>
          </w:p>
          <w:p w:rsidR="001255B5" w:rsidRPr="00BB4F56" w:rsidRDefault="001255B5" w:rsidP="00684AC0">
            <w:pPr>
              <w:rPr>
                <w:color w:val="1F497D"/>
              </w:rPr>
            </w:pPr>
          </w:p>
        </w:tc>
      </w:tr>
      <w:tr w:rsidR="00F30893" w:rsidRPr="00BB4F56">
        <w:trPr>
          <w:jc w:val="center"/>
        </w:trPr>
        <w:tc>
          <w:tcPr>
            <w:tcW w:w="9587" w:type="dxa"/>
            <w:gridSpan w:val="3"/>
            <w:tcBorders>
              <w:top w:val="single" w:sz="6" w:space="0" w:color="000000"/>
              <w:bottom w:val="single" w:sz="6" w:space="0" w:color="000000"/>
            </w:tcBorders>
            <w:shd w:val="clear" w:color="auto" w:fill="D9D9D9"/>
          </w:tcPr>
          <w:p w:rsidR="00F30893" w:rsidRPr="00BB4F56" w:rsidRDefault="008375B4" w:rsidP="00F30893">
            <w:pPr>
              <w:jc w:val="center"/>
              <w:rPr>
                <w:b/>
              </w:rPr>
            </w:pPr>
            <w:r w:rsidRPr="00BB4F56">
              <w:rPr>
                <w:b/>
              </w:rPr>
              <w:t xml:space="preserve">2.  </w:t>
            </w:r>
            <w:r w:rsidR="00F30893" w:rsidRPr="00BB4F56">
              <w:rPr>
                <w:b/>
              </w:rPr>
              <w:t>PROJECT MANAGEMENT</w:t>
            </w:r>
          </w:p>
        </w:tc>
      </w:tr>
      <w:tr w:rsidR="00F30893" w:rsidRPr="00BB4F56">
        <w:trPr>
          <w:trHeight w:val="763"/>
          <w:jc w:val="center"/>
        </w:trPr>
        <w:tc>
          <w:tcPr>
            <w:tcW w:w="3369" w:type="dxa"/>
            <w:tcBorders>
              <w:top w:val="single" w:sz="6" w:space="0" w:color="000000"/>
              <w:bottom w:val="single" w:sz="6" w:space="0" w:color="000000"/>
            </w:tcBorders>
            <w:shd w:val="clear" w:color="auto" w:fill="auto"/>
            <w:vAlign w:val="center"/>
          </w:tcPr>
          <w:p w:rsidR="00F30893" w:rsidRPr="00BB4F56" w:rsidRDefault="00F30893" w:rsidP="00F30893">
            <w:pPr>
              <w:rPr>
                <w:b/>
              </w:rPr>
            </w:pPr>
            <w:r w:rsidRPr="00BB4F56">
              <w:rPr>
                <w:b/>
              </w:rPr>
              <w:t>2.</w:t>
            </w:r>
            <w:r w:rsidR="00490171" w:rsidRPr="00BB4F56">
              <w:rPr>
                <w:b/>
              </w:rPr>
              <w:t>1</w:t>
            </w:r>
            <w:r w:rsidRPr="00BB4F56">
              <w:rPr>
                <w:b/>
              </w:rPr>
              <w:t xml:space="preserve">  Project Manager or Chair  </w:t>
            </w:r>
          </w:p>
        </w:tc>
        <w:tc>
          <w:tcPr>
            <w:tcW w:w="6218" w:type="dxa"/>
            <w:gridSpan w:val="2"/>
            <w:tcBorders>
              <w:top w:val="single" w:sz="6" w:space="0" w:color="000000"/>
              <w:bottom w:val="single" w:sz="4" w:space="0" w:color="auto"/>
            </w:tcBorders>
            <w:shd w:val="clear" w:color="auto" w:fill="auto"/>
          </w:tcPr>
          <w:p w:rsidR="00F30893" w:rsidRPr="00BB4F56" w:rsidRDefault="00F30893" w:rsidP="00F30893"/>
          <w:p w:rsidR="00F30893" w:rsidRPr="00BB4F56" w:rsidRDefault="006979AD" w:rsidP="00F30893">
            <w:r>
              <w:t xml:space="preserve">Marina </w:t>
            </w:r>
            <w:proofErr w:type="spellStart"/>
            <w:r>
              <w:t>Piria</w:t>
            </w:r>
            <w:proofErr w:type="spellEnd"/>
          </w:p>
        </w:tc>
      </w:tr>
      <w:tr w:rsidR="00F30893" w:rsidRPr="00BB4F56">
        <w:trPr>
          <w:trHeight w:val="763"/>
          <w:jc w:val="center"/>
        </w:trPr>
        <w:tc>
          <w:tcPr>
            <w:tcW w:w="3369" w:type="dxa"/>
            <w:tcBorders>
              <w:top w:val="nil"/>
              <w:bottom w:val="single" w:sz="6" w:space="0" w:color="000000"/>
            </w:tcBorders>
            <w:shd w:val="clear" w:color="auto" w:fill="auto"/>
            <w:vAlign w:val="center"/>
          </w:tcPr>
          <w:p w:rsidR="00F30893" w:rsidRPr="00BB4F56" w:rsidRDefault="005C7360" w:rsidP="00F30893">
            <w:pPr>
              <w:ind w:left="993" w:hanging="567"/>
            </w:pPr>
            <w:r w:rsidRPr="00BB4F56">
              <w:t>2.1</w:t>
            </w:r>
            <w:r w:rsidR="00F30893" w:rsidRPr="00BB4F56">
              <w:t>.1  Management responsibilities</w:t>
            </w:r>
            <w:r w:rsidR="00F30893" w:rsidRPr="00BB4F56">
              <w:rPr>
                <w:rStyle w:val="FootnoteReference"/>
              </w:rPr>
              <w:footnoteReference w:id="5"/>
            </w:r>
          </w:p>
        </w:tc>
        <w:tc>
          <w:tcPr>
            <w:tcW w:w="6218" w:type="dxa"/>
            <w:gridSpan w:val="2"/>
            <w:tcBorders>
              <w:top w:val="nil"/>
              <w:bottom w:val="single" w:sz="6" w:space="0" w:color="000000"/>
            </w:tcBorders>
            <w:shd w:val="clear" w:color="auto" w:fill="auto"/>
          </w:tcPr>
          <w:p w:rsidR="00F30893" w:rsidRPr="00BB4F56" w:rsidRDefault="008D7875" w:rsidP="003860BD">
            <w:r>
              <w:t>Coordinate the development of the project team and the detailed project plan.  Responsible for the conference delivery.</w:t>
            </w:r>
          </w:p>
        </w:tc>
      </w:tr>
      <w:tr w:rsidR="00F30893" w:rsidRPr="00BB4F56">
        <w:trPr>
          <w:trHeight w:val="269"/>
          <w:jc w:val="center"/>
        </w:trPr>
        <w:tc>
          <w:tcPr>
            <w:tcW w:w="3369" w:type="dxa"/>
            <w:tcBorders>
              <w:top w:val="nil"/>
              <w:bottom w:val="single" w:sz="6" w:space="0" w:color="000000"/>
            </w:tcBorders>
            <w:shd w:val="clear" w:color="auto" w:fill="auto"/>
            <w:vAlign w:val="center"/>
          </w:tcPr>
          <w:p w:rsidR="00F30893" w:rsidRPr="00BB4F56" w:rsidRDefault="00F64C21" w:rsidP="00F30893">
            <w:r w:rsidRPr="00BB4F56">
              <w:rPr>
                <w:b/>
              </w:rPr>
              <w:t>2.2</w:t>
            </w:r>
            <w:r w:rsidR="00F30893" w:rsidRPr="00BB4F56">
              <w:rPr>
                <w:b/>
              </w:rPr>
              <w:t xml:space="preserve">  Participants</w:t>
            </w:r>
            <w:r w:rsidR="00F30893" w:rsidRPr="00BB4F56">
              <w:rPr>
                <w:rStyle w:val="FootnoteReference"/>
              </w:rPr>
              <w:footnoteReference w:id="6"/>
            </w:r>
            <w:r w:rsidR="007A2117" w:rsidRPr="00BB4F56">
              <w:rPr>
                <w:b/>
              </w:rPr>
              <w:t xml:space="preserve"> and stakeholders</w:t>
            </w:r>
          </w:p>
        </w:tc>
        <w:tc>
          <w:tcPr>
            <w:tcW w:w="6218" w:type="dxa"/>
            <w:gridSpan w:val="2"/>
            <w:tcBorders>
              <w:top w:val="single" w:sz="6" w:space="0" w:color="000000"/>
              <w:bottom w:val="single" w:sz="6" w:space="0" w:color="000000"/>
            </w:tcBorders>
            <w:shd w:val="thinReverseDiagStripe" w:color="auto" w:fill="auto"/>
          </w:tcPr>
          <w:p w:rsidR="00F30893" w:rsidRPr="00BB4F56" w:rsidRDefault="00F30893" w:rsidP="008067B2">
            <w:pPr>
              <w:pStyle w:val="FootnoteText"/>
            </w:pPr>
          </w:p>
        </w:tc>
      </w:tr>
      <w:tr w:rsidR="008067B2" w:rsidRPr="00BB4F56">
        <w:trPr>
          <w:gridAfter w:val="1"/>
          <w:wAfter w:w="3369" w:type="dxa"/>
          <w:trHeight w:val="269"/>
          <w:jc w:val="center"/>
        </w:trPr>
        <w:tc>
          <w:tcPr>
            <w:tcW w:w="6218" w:type="dxa"/>
            <w:gridSpan w:val="2"/>
            <w:tcBorders>
              <w:top w:val="single" w:sz="6" w:space="0" w:color="000000"/>
              <w:bottom w:val="single" w:sz="6" w:space="0" w:color="000000"/>
            </w:tcBorders>
            <w:shd w:val="thinReverseDiagStripe" w:color="auto" w:fill="auto"/>
          </w:tcPr>
          <w:p w:rsidR="008067B2" w:rsidRPr="00BB4F56" w:rsidRDefault="008067B2" w:rsidP="00F30893"/>
        </w:tc>
      </w:tr>
      <w:tr w:rsidR="00F30893" w:rsidRPr="00BB4F56">
        <w:trPr>
          <w:trHeight w:val="763"/>
          <w:jc w:val="center"/>
        </w:trPr>
        <w:tc>
          <w:tcPr>
            <w:tcW w:w="3369" w:type="dxa"/>
            <w:tcBorders>
              <w:top w:val="single" w:sz="6" w:space="0" w:color="000000"/>
            </w:tcBorders>
            <w:shd w:val="clear" w:color="auto" w:fill="auto"/>
            <w:vAlign w:val="center"/>
          </w:tcPr>
          <w:p w:rsidR="00F30893" w:rsidRPr="00BB4F56" w:rsidRDefault="00D62B7D" w:rsidP="00E363A2">
            <w:pPr>
              <w:ind w:left="426"/>
            </w:pPr>
            <w:r w:rsidRPr="00BB4F56">
              <w:t>2.2</w:t>
            </w:r>
            <w:r w:rsidR="00F30893" w:rsidRPr="00BB4F56">
              <w:t>.1 Identify</w:t>
            </w:r>
            <w:r w:rsidR="00DD186E" w:rsidRPr="00BB4F56">
              <w:t xml:space="preserve"> potential</w:t>
            </w:r>
            <w:r w:rsidR="00B15C89" w:rsidRPr="00BB4F56">
              <w:t xml:space="preserve"> participants</w:t>
            </w:r>
          </w:p>
        </w:tc>
        <w:tc>
          <w:tcPr>
            <w:tcW w:w="6218" w:type="dxa"/>
            <w:gridSpan w:val="2"/>
            <w:tcBorders>
              <w:top w:val="single" w:sz="6" w:space="0" w:color="000000"/>
            </w:tcBorders>
            <w:shd w:val="clear" w:color="auto" w:fill="auto"/>
          </w:tcPr>
          <w:p w:rsidR="00C000C0" w:rsidRPr="00BB4F56" w:rsidRDefault="008067B2" w:rsidP="00C000C0">
            <w:r>
              <w:t xml:space="preserve">Establish an Organising Committee for the conference, to </w:t>
            </w:r>
            <w:r w:rsidR="00C000C0">
              <w:t>represent acknowledged aquatic</w:t>
            </w:r>
            <w:r>
              <w:t xml:space="preserve"> </w:t>
            </w:r>
            <w:r w:rsidR="00C000C0">
              <w:t>i</w:t>
            </w:r>
            <w:r w:rsidR="008D7875">
              <w:t xml:space="preserve">nvasive </w:t>
            </w:r>
            <w:r w:rsidR="00C000C0">
              <w:t>s</w:t>
            </w:r>
            <w:r w:rsidR="008D7875">
              <w:t xml:space="preserve">pecies </w:t>
            </w:r>
            <w:r>
              <w:t>scientists, managers and policy makers</w:t>
            </w:r>
            <w:r w:rsidR="008D7875">
              <w:t xml:space="preserve"> </w:t>
            </w:r>
            <w:r w:rsidR="00C000C0">
              <w:t>within</w:t>
            </w:r>
            <w:r w:rsidR="008D7875">
              <w:t xml:space="preserve"> Europe</w:t>
            </w:r>
            <w:r>
              <w:t>.</w:t>
            </w:r>
            <w:r w:rsidR="00C000C0">
              <w:t xml:space="preserve"> This committee will identify potential participants. </w:t>
            </w:r>
            <w:r w:rsidR="00CC594E">
              <w:t xml:space="preserve"> </w:t>
            </w:r>
          </w:p>
          <w:p w:rsidR="00F30893" w:rsidRPr="00BB4F56" w:rsidRDefault="00F30893" w:rsidP="008067B2"/>
        </w:tc>
      </w:tr>
      <w:tr w:rsidR="009423B0" w:rsidRPr="00BB4F56">
        <w:trPr>
          <w:trHeight w:val="763"/>
          <w:jc w:val="center"/>
        </w:trPr>
        <w:tc>
          <w:tcPr>
            <w:tcW w:w="3369" w:type="dxa"/>
            <w:tcBorders>
              <w:top w:val="single" w:sz="6" w:space="0" w:color="000000"/>
            </w:tcBorders>
            <w:shd w:val="clear" w:color="auto" w:fill="auto"/>
            <w:vAlign w:val="center"/>
          </w:tcPr>
          <w:p w:rsidR="009423B0" w:rsidRPr="00BB4F56" w:rsidRDefault="00D62B7D" w:rsidP="00F30893">
            <w:pPr>
              <w:ind w:left="426"/>
            </w:pPr>
            <w:r w:rsidRPr="00BB4F56">
              <w:t>2.2</w:t>
            </w:r>
            <w:r w:rsidR="007A2117" w:rsidRPr="00BB4F56">
              <w:t xml:space="preserve">.2. </w:t>
            </w:r>
            <w:r w:rsidR="00E363A2">
              <w:t xml:space="preserve">Identify </w:t>
            </w:r>
            <w:r w:rsidR="009423B0" w:rsidRPr="00BB4F56">
              <w:t>stakeholders concerned and involved (answer not immediately needed but think about it and address it in the course of the project)</w:t>
            </w:r>
          </w:p>
        </w:tc>
        <w:tc>
          <w:tcPr>
            <w:tcW w:w="6218" w:type="dxa"/>
            <w:gridSpan w:val="2"/>
            <w:tcBorders>
              <w:top w:val="single" w:sz="6" w:space="0" w:color="000000"/>
            </w:tcBorders>
            <w:shd w:val="clear" w:color="auto" w:fill="auto"/>
          </w:tcPr>
          <w:p w:rsidR="008D7875" w:rsidRDefault="00B64B68" w:rsidP="008D7875">
            <w:pPr>
              <w:numPr>
                <w:ilvl w:val="0"/>
                <w:numId w:val="4"/>
              </w:numPr>
              <w:ind w:left="-225"/>
              <w:outlineLvl w:val="2"/>
            </w:pPr>
            <w:r w:rsidRPr="00BF3BE9">
              <w:rPr>
                <w:bCs/>
              </w:rPr>
              <w:t>European</w:t>
            </w:r>
            <w:r w:rsidRPr="00BF3BE9">
              <w:t xml:space="preserve"> </w:t>
            </w:r>
            <w:r w:rsidRPr="00BF3BE9">
              <w:rPr>
                <w:bCs/>
              </w:rPr>
              <w:t>Anglers</w:t>
            </w:r>
            <w:r w:rsidRPr="00BF3BE9">
              <w:t xml:space="preserve"> </w:t>
            </w:r>
            <w:smartTag w:uri="urn:schemas-microsoft-com:office:smarttags" w:element="City">
              <w:smartTag w:uri="urn:schemas-microsoft-com:office:smarttags" w:element="place">
                <w:r w:rsidRPr="00BF3BE9">
                  <w:rPr>
                    <w:bCs/>
                  </w:rPr>
                  <w:t>Alliance</w:t>
                </w:r>
              </w:smartTag>
            </w:smartTag>
            <w:r w:rsidRPr="00BF3BE9">
              <w:t xml:space="preserve"> (EAA)</w:t>
            </w:r>
          </w:p>
          <w:p w:rsidR="00C000C0" w:rsidRPr="00BF3BE9" w:rsidRDefault="00C000C0" w:rsidP="008D7875">
            <w:pPr>
              <w:numPr>
                <w:ilvl w:val="0"/>
                <w:numId w:val="4"/>
              </w:numPr>
              <w:ind w:left="-225"/>
              <w:outlineLvl w:val="2"/>
            </w:pPr>
            <w:r>
              <w:t>EU</w:t>
            </w:r>
          </w:p>
          <w:p w:rsidR="008D7875" w:rsidRPr="00BF3BE9" w:rsidRDefault="008D7875" w:rsidP="008D7875">
            <w:pPr>
              <w:numPr>
                <w:ilvl w:val="0"/>
                <w:numId w:val="4"/>
              </w:numPr>
              <w:ind w:left="-225"/>
              <w:outlineLvl w:val="2"/>
              <w:rPr>
                <w:color w:val="000000"/>
              </w:rPr>
            </w:pPr>
            <w:r w:rsidRPr="00BF3BE9">
              <w:rPr>
                <w:color w:val="000000"/>
              </w:rPr>
              <w:t>Boating Federations</w:t>
            </w:r>
          </w:p>
          <w:p w:rsidR="008D7875" w:rsidRPr="00BF3BE9" w:rsidRDefault="008D7875" w:rsidP="008D7875">
            <w:pPr>
              <w:numPr>
                <w:ilvl w:val="0"/>
                <w:numId w:val="4"/>
              </w:numPr>
              <w:ind w:left="-225"/>
              <w:outlineLvl w:val="2"/>
              <w:rPr>
                <w:color w:val="000000"/>
              </w:rPr>
            </w:pPr>
            <w:r w:rsidRPr="00BF3BE9">
              <w:rPr>
                <w:color w:val="000000"/>
              </w:rPr>
              <w:t xml:space="preserve">Customs </w:t>
            </w:r>
          </w:p>
          <w:p w:rsidR="008D7875" w:rsidRPr="00BF3BE9" w:rsidRDefault="00B64B68" w:rsidP="008D7875">
            <w:pPr>
              <w:numPr>
                <w:ilvl w:val="0"/>
                <w:numId w:val="4"/>
              </w:numPr>
              <w:ind w:left="-225"/>
              <w:outlineLvl w:val="2"/>
              <w:rPr>
                <w:color w:val="000000"/>
              </w:rPr>
            </w:pPr>
            <w:r w:rsidRPr="00BF3BE9">
              <w:rPr>
                <w:color w:val="000000"/>
              </w:rPr>
              <w:t>Horticulture</w:t>
            </w:r>
          </w:p>
          <w:p w:rsidR="00B64B68" w:rsidRPr="00BF3BE9" w:rsidRDefault="00B64B68" w:rsidP="008D7875">
            <w:pPr>
              <w:numPr>
                <w:ilvl w:val="0"/>
                <w:numId w:val="4"/>
              </w:numPr>
              <w:ind w:left="-225"/>
              <w:outlineLvl w:val="2"/>
              <w:rPr>
                <w:color w:val="000000"/>
              </w:rPr>
            </w:pPr>
            <w:r w:rsidRPr="00BF3BE9">
              <w:rPr>
                <w:color w:val="000000"/>
              </w:rPr>
              <w:t>Pet trade</w:t>
            </w:r>
          </w:p>
          <w:p w:rsidR="00B64B68" w:rsidRPr="00BF3BE9" w:rsidRDefault="00B64B68" w:rsidP="008D7875">
            <w:pPr>
              <w:numPr>
                <w:ilvl w:val="0"/>
                <w:numId w:val="4"/>
              </w:numPr>
              <w:ind w:left="-225"/>
              <w:outlineLvl w:val="2"/>
              <w:rPr>
                <w:color w:val="000000"/>
              </w:rPr>
            </w:pPr>
            <w:r w:rsidRPr="00BF3BE9">
              <w:rPr>
                <w:color w:val="000000"/>
              </w:rPr>
              <w:t>Fishery owners</w:t>
            </w:r>
          </w:p>
          <w:p w:rsidR="00B64B68" w:rsidRPr="00BF3BE9" w:rsidRDefault="00B64B68" w:rsidP="008D7875">
            <w:pPr>
              <w:numPr>
                <w:ilvl w:val="0"/>
                <w:numId w:val="4"/>
              </w:numPr>
              <w:ind w:left="-225"/>
              <w:outlineLvl w:val="2"/>
              <w:rPr>
                <w:color w:val="000000"/>
              </w:rPr>
            </w:pPr>
            <w:r w:rsidRPr="00BF3BE9">
              <w:rPr>
                <w:color w:val="000000"/>
              </w:rPr>
              <w:t>Aquaculture</w:t>
            </w:r>
          </w:p>
          <w:p w:rsidR="00B64B68" w:rsidRPr="00BF3BE9" w:rsidRDefault="002B2EAB" w:rsidP="008D7875">
            <w:pPr>
              <w:numPr>
                <w:ilvl w:val="0"/>
                <w:numId w:val="4"/>
              </w:numPr>
              <w:ind w:left="-225"/>
              <w:outlineLvl w:val="2"/>
              <w:rPr>
                <w:color w:val="000000"/>
              </w:rPr>
            </w:pPr>
            <w:r w:rsidRPr="002B2EAB">
              <w:rPr>
                <w:color w:val="000000"/>
              </w:rPr>
              <w:t>Water Ma</w:t>
            </w:r>
            <w:r>
              <w:rPr>
                <w:color w:val="000000"/>
              </w:rPr>
              <w:t>nagers</w:t>
            </w:r>
          </w:p>
          <w:p w:rsidR="008D7875" w:rsidRPr="00BB4F56" w:rsidRDefault="002B2EAB" w:rsidP="008D7875">
            <w:r>
              <w:t xml:space="preserve">            Clean Baltic Coalition</w:t>
            </w:r>
          </w:p>
          <w:p w:rsidR="009423B0" w:rsidRPr="00BB4F56" w:rsidRDefault="009423B0" w:rsidP="00F30893"/>
        </w:tc>
      </w:tr>
      <w:tr w:rsidR="00F30893" w:rsidRPr="00BB4F56">
        <w:trPr>
          <w:trHeight w:val="763"/>
          <w:jc w:val="center"/>
        </w:trPr>
        <w:tc>
          <w:tcPr>
            <w:tcW w:w="3369" w:type="dxa"/>
            <w:shd w:val="clear" w:color="auto" w:fill="auto"/>
            <w:vAlign w:val="center"/>
          </w:tcPr>
          <w:p w:rsidR="00F30893" w:rsidRPr="00BB4F56" w:rsidRDefault="005C7360" w:rsidP="00F30893">
            <w:pPr>
              <w:rPr>
                <w:b/>
              </w:rPr>
            </w:pPr>
            <w:r w:rsidRPr="00BB4F56">
              <w:rPr>
                <w:b/>
              </w:rPr>
              <w:lastRenderedPageBreak/>
              <w:t>2.3</w:t>
            </w:r>
            <w:r w:rsidR="00F30893" w:rsidRPr="00BB4F56">
              <w:rPr>
                <w:b/>
              </w:rPr>
              <w:t xml:space="preserve">  Time frame</w:t>
            </w:r>
            <w:r w:rsidR="00872CD2" w:rsidRPr="00BB4F56">
              <w:rPr>
                <w:rStyle w:val="FootnoteReference"/>
                <w:b/>
              </w:rPr>
              <w:footnoteReference w:id="7"/>
            </w:r>
            <w:r w:rsidR="00F30893" w:rsidRPr="00BB4F56">
              <w:rPr>
                <w:b/>
              </w:rPr>
              <w:t xml:space="preserve">  </w:t>
            </w:r>
          </w:p>
        </w:tc>
        <w:tc>
          <w:tcPr>
            <w:tcW w:w="6218" w:type="dxa"/>
            <w:gridSpan w:val="2"/>
            <w:shd w:val="clear" w:color="auto" w:fill="auto"/>
          </w:tcPr>
          <w:p w:rsidR="00F30893" w:rsidRPr="00BB4F56" w:rsidRDefault="00F30893" w:rsidP="00F30893"/>
          <w:p w:rsidR="00F30893" w:rsidRPr="00BB4F56" w:rsidRDefault="00B64B68" w:rsidP="00B96EFA">
            <w:r>
              <w:t>Q</w:t>
            </w:r>
            <w:r w:rsidR="00C000C0">
              <w:t>2</w:t>
            </w:r>
            <w:r>
              <w:t xml:space="preserve"> 2012 to Q</w:t>
            </w:r>
            <w:r w:rsidR="00C000C0">
              <w:t>4</w:t>
            </w:r>
            <w:r>
              <w:t xml:space="preserve"> </w:t>
            </w:r>
            <w:r w:rsidR="00B96EFA">
              <w:t>2015</w:t>
            </w:r>
            <w:r>
              <w:t>:  Review at this stage for full project implementation</w:t>
            </w:r>
          </w:p>
        </w:tc>
      </w:tr>
      <w:tr w:rsidR="00F30893" w:rsidRPr="00BB4F56">
        <w:trPr>
          <w:trHeight w:val="763"/>
          <w:jc w:val="center"/>
        </w:trPr>
        <w:tc>
          <w:tcPr>
            <w:tcW w:w="3369" w:type="dxa"/>
            <w:shd w:val="clear" w:color="auto" w:fill="auto"/>
            <w:vAlign w:val="center"/>
          </w:tcPr>
          <w:p w:rsidR="00F30893" w:rsidRPr="00BB4F56" w:rsidRDefault="00A22646" w:rsidP="00F30893">
            <w:pPr>
              <w:rPr>
                <w:b/>
              </w:rPr>
            </w:pPr>
            <w:r w:rsidRPr="00BB4F56">
              <w:rPr>
                <w:b/>
              </w:rPr>
              <w:t>2.4</w:t>
            </w:r>
            <w:r w:rsidR="00F74618" w:rsidRPr="00BB4F56">
              <w:rPr>
                <w:b/>
              </w:rPr>
              <w:t xml:space="preserve">  Expected d</w:t>
            </w:r>
            <w:r w:rsidR="00F30893" w:rsidRPr="00BB4F56">
              <w:rPr>
                <w:b/>
              </w:rPr>
              <w:t>eliverables</w:t>
            </w:r>
            <w:r w:rsidR="007A7F64" w:rsidRPr="00BB4F56">
              <w:rPr>
                <w:rStyle w:val="FootnoteReference"/>
                <w:b/>
              </w:rPr>
              <w:footnoteReference w:id="8"/>
            </w:r>
          </w:p>
        </w:tc>
        <w:tc>
          <w:tcPr>
            <w:tcW w:w="6218" w:type="dxa"/>
            <w:gridSpan w:val="2"/>
            <w:shd w:val="clear" w:color="auto" w:fill="auto"/>
          </w:tcPr>
          <w:p w:rsidR="00132C81" w:rsidRDefault="00C000C0" w:rsidP="00132C81">
            <w:r w:rsidRPr="00BF3BE9">
              <w:t>Plan and deliver a</w:t>
            </w:r>
            <w:r>
              <w:t>n international</w:t>
            </w:r>
            <w:r w:rsidRPr="00BF3BE9">
              <w:t xml:space="preserve"> </w:t>
            </w:r>
            <w:r>
              <w:t>c</w:t>
            </w:r>
            <w:r w:rsidRPr="00BF3BE9">
              <w:t xml:space="preserve">onference </w:t>
            </w:r>
            <w:r>
              <w:t xml:space="preserve">on aquatic invasive species that will bring together leading experts from </w:t>
            </w:r>
            <w:r w:rsidR="00132C81">
              <w:t>Europe and farther afield</w:t>
            </w:r>
            <w:r>
              <w:t xml:space="preserve">. </w:t>
            </w:r>
            <w:r w:rsidR="00132C81">
              <w:t>Establish a committee of experts to coordinate the conference and ensure that all relevant delegates are invited to attend. At the conference workshops</w:t>
            </w:r>
            <w:r w:rsidR="003860BD">
              <w:t>,</w:t>
            </w:r>
            <w:r w:rsidR="00132C81">
              <w:t xml:space="preserve"> led by leading world experts</w:t>
            </w:r>
            <w:r w:rsidR="003860BD">
              <w:t>,</w:t>
            </w:r>
            <w:r w:rsidR="00132C81">
              <w:t xml:space="preserve"> key themes relating to the threats and management of aquatic invasive species</w:t>
            </w:r>
            <w:r w:rsidR="003860BD">
              <w:t xml:space="preserve"> will be discussed</w:t>
            </w:r>
            <w:r w:rsidR="00132C81">
              <w:t xml:space="preserve">. A document that includes the speakers addresses to the conference and the outcome from the two days of workshops will issue in Q3 </w:t>
            </w:r>
            <w:r w:rsidR="00B96EFA">
              <w:t xml:space="preserve">2013 </w:t>
            </w:r>
            <w:r w:rsidR="00132C81">
              <w:t xml:space="preserve">and it is anticipated that this will inform policy development on invasive species in Europe. </w:t>
            </w:r>
          </w:p>
          <w:p w:rsidR="00132C81" w:rsidRDefault="00B96EFA" w:rsidP="00132C81">
            <w:r>
              <w:t xml:space="preserve">An expert group </w:t>
            </w:r>
            <w:r w:rsidR="00132C81">
              <w:t>will be established following the conference</w:t>
            </w:r>
            <w:r w:rsidR="00982712">
              <w:t>, with significant input from EIFAAC countries, and will help steer the harmonisation of invasive species policy through Europe.</w:t>
            </w:r>
          </w:p>
          <w:p w:rsidR="00F30893" w:rsidRPr="00BB4F56" w:rsidRDefault="00C000C0" w:rsidP="00132C81">
            <w:r w:rsidRPr="00BF3BE9">
              <w:t xml:space="preserve">  </w:t>
            </w:r>
          </w:p>
        </w:tc>
      </w:tr>
      <w:tr w:rsidR="00F30893" w:rsidRPr="00BB4F56">
        <w:trPr>
          <w:trHeight w:val="763"/>
          <w:jc w:val="center"/>
        </w:trPr>
        <w:tc>
          <w:tcPr>
            <w:tcW w:w="3369" w:type="dxa"/>
            <w:tcBorders>
              <w:bottom w:val="single" w:sz="6" w:space="0" w:color="000000"/>
            </w:tcBorders>
            <w:shd w:val="clear" w:color="auto" w:fill="auto"/>
            <w:vAlign w:val="center"/>
          </w:tcPr>
          <w:p w:rsidR="00F30893" w:rsidRPr="00BB4F56" w:rsidRDefault="00A22646" w:rsidP="00F30893">
            <w:pPr>
              <w:rPr>
                <w:b/>
              </w:rPr>
            </w:pPr>
            <w:r w:rsidRPr="00BB4F56">
              <w:rPr>
                <w:b/>
              </w:rPr>
              <w:t>2.5</w:t>
            </w:r>
            <w:r w:rsidR="00F30893" w:rsidRPr="00BB4F56">
              <w:rPr>
                <w:b/>
              </w:rPr>
              <w:t xml:space="preserve">  </w:t>
            </w:r>
            <w:r w:rsidR="00444C35" w:rsidRPr="00BB4F56">
              <w:rPr>
                <w:b/>
              </w:rPr>
              <w:t xml:space="preserve">Outline of Working </w:t>
            </w:r>
            <w:r w:rsidR="00F30893" w:rsidRPr="00BB4F56">
              <w:rPr>
                <w:b/>
              </w:rPr>
              <w:t>Methodology</w:t>
            </w:r>
            <w:r w:rsidR="00F30893" w:rsidRPr="00BB4F56">
              <w:rPr>
                <w:rStyle w:val="FootnoteReference"/>
              </w:rPr>
              <w:footnoteReference w:id="9"/>
            </w:r>
          </w:p>
        </w:tc>
        <w:tc>
          <w:tcPr>
            <w:tcW w:w="6218" w:type="dxa"/>
            <w:gridSpan w:val="2"/>
            <w:tcBorders>
              <w:bottom w:val="single" w:sz="6" w:space="0" w:color="000000"/>
            </w:tcBorders>
            <w:shd w:val="clear" w:color="auto" w:fill="auto"/>
          </w:tcPr>
          <w:p w:rsidR="00B64B68" w:rsidRPr="00BB4F56" w:rsidRDefault="00994B49" w:rsidP="00982712">
            <w:r>
              <w:t xml:space="preserve">Establish an international organising committee that will input into the focus of the conference, the list of keynote and guest speakers and the delegate list. Hold a number of meetings, including one on-site meeting, to set up the conference and to agree on deliverables. At the conference agree on a committee that will drive the aquatic invasive species issue, particularly on behalf of EIFAAC, into the future. </w:t>
            </w:r>
            <w:r w:rsidR="00982712">
              <w:t>This committee should either contain key personnel from EIFAAC’s MC or TSC, or be actively supported by a panel from within EIFAAC.</w:t>
            </w:r>
          </w:p>
        </w:tc>
      </w:tr>
      <w:tr w:rsidR="00F30893" w:rsidRPr="00BB4F56">
        <w:trPr>
          <w:trHeight w:val="48"/>
          <w:jc w:val="center"/>
        </w:trPr>
        <w:tc>
          <w:tcPr>
            <w:tcW w:w="9587" w:type="dxa"/>
            <w:gridSpan w:val="3"/>
            <w:tcBorders>
              <w:top w:val="single" w:sz="6" w:space="0" w:color="000000"/>
              <w:bottom w:val="single" w:sz="6" w:space="0" w:color="000000"/>
            </w:tcBorders>
            <w:shd w:val="clear" w:color="auto" w:fill="D9D9D9"/>
            <w:vAlign w:val="center"/>
          </w:tcPr>
          <w:p w:rsidR="00F30893" w:rsidRPr="00BB4F56" w:rsidRDefault="00A22646" w:rsidP="00F30893">
            <w:pPr>
              <w:jc w:val="center"/>
              <w:rPr>
                <w:b/>
              </w:rPr>
            </w:pPr>
            <w:r w:rsidRPr="00BB4F56">
              <w:rPr>
                <w:b/>
              </w:rPr>
              <w:t>3</w:t>
            </w:r>
            <w:r w:rsidR="00F30893" w:rsidRPr="00BB4F56">
              <w:rPr>
                <w:b/>
              </w:rPr>
              <w:t>.  BUDG</w:t>
            </w:r>
            <w:r w:rsidR="00CF4261" w:rsidRPr="00BB4F56">
              <w:rPr>
                <w:b/>
              </w:rPr>
              <w:t>ET</w:t>
            </w:r>
          </w:p>
        </w:tc>
      </w:tr>
      <w:tr w:rsidR="00ED02C4" w:rsidRPr="00BB4F56">
        <w:trPr>
          <w:trHeight w:val="269"/>
          <w:jc w:val="center"/>
        </w:trPr>
        <w:tc>
          <w:tcPr>
            <w:tcW w:w="3369" w:type="dxa"/>
            <w:tcBorders>
              <w:top w:val="nil"/>
              <w:bottom w:val="single" w:sz="6" w:space="0" w:color="000000"/>
            </w:tcBorders>
            <w:shd w:val="clear" w:color="auto" w:fill="auto"/>
            <w:vAlign w:val="center"/>
          </w:tcPr>
          <w:p w:rsidR="00ED02C4" w:rsidRPr="00BB4F56" w:rsidRDefault="00ED02C4" w:rsidP="00397E2F">
            <w:pPr>
              <w:rPr>
                <w:b/>
              </w:rPr>
            </w:pPr>
            <w:r>
              <w:rPr>
                <w:b/>
              </w:rPr>
              <w:t xml:space="preserve">3.1     </w:t>
            </w:r>
            <w:r w:rsidRPr="00BB4F56">
              <w:rPr>
                <w:b/>
              </w:rPr>
              <w:t>Budget</w:t>
            </w:r>
            <w:r w:rsidRPr="00BB4F56">
              <w:rPr>
                <w:rStyle w:val="FootnoteReference"/>
                <w:b/>
              </w:rPr>
              <w:footnoteReference w:id="10"/>
            </w:r>
          </w:p>
        </w:tc>
        <w:tc>
          <w:tcPr>
            <w:tcW w:w="6218" w:type="dxa"/>
            <w:gridSpan w:val="2"/>
            <w:tcBorders>
              <w:top w:val="single" w:sz="6" w:space="0" w:color="000000"/>
              <w:bottom w:val="single" w:sz="6" w:space="0" w:color="000000"/>
            </w:tcBorders>
            <w:shd w:val="thinReverseDiagStripe" w:color="auto" w:fill="auto"/>
          </w:tcPr>
          <w:p w:rsidR="00ED02C4" w:rsidRPr="00BB4F56" w:rsidRDefault="00ED02C4" w:rsidP="00397E2F"/>
        </w:tc>
      </w:tr>
      <w:tr w:rsidR="00350ADF" w:rsidRPr="00BB4F56">
        <w:trPr>
          <w:trHeight w:val="763"/>
          <w:jc w:val="center"/>
        </w:trPr>
        <w:tc>
          <w:tcPr>
            <w:tcW w:w="3369" w:type="dxa"/>
            <w:tcBorders>
              <w:top w:val="single" w:sz="6" w:space="0" w:color="000000"/>
              <w:bottom w:val="single" w:sz="6" w:space="0" w:color="000000"/>
            </w:tcBorders>
            <w:shd w:val="clear" w:color="auto" w:fill="auto"/>
            <w:vAlign w:val="center"/>
          </w:tcPr>
          <w:p w:rsidR="00350ADF" w:rsidRPr="00BB4F56" w:rsidRDefault="00350ADF" w:rsidP="00350ADF">
            <w:pPr>
              <w:rPr>
                <w:b/>
              </w:rPr>
            </w:pPr>
            <w:r w:rsidRPr="00BB4F56">
              <w:rPr>
                <w:b/>
              </w:rPr>
              <w:t>3.1.1  available</w:t>
            </w:r>
          </w:p>
        </w:tc>
        <w:tc>
          <w:tcPr>
            <w:tcW w:w="6218" w:type="dxa"/>
            <w:gridSpan w:val="2"/>
            <w:tcBorders>
              <w:top w:val="single" w:sz="6" w:space="0" w:color="000000"/>
              <w:bottom w:val="single" w:sz="6" w:space="0" w:color="000000"/>
            </w:tcBorders>
            <w:shd w:val="clear" w:color="auto" w:fill="auto"/>
          </w:tcPr>
          <w:p w:rsidR="00350ADF" w:rsidRPr="00BF3BE9" w:rsidRDefault="00B64B68" w:rsidP="00994B49">
            <w:pPr>
              <w:ind w:left="360"/>
            </w:pPr>
            <w:r w:rsidRPr="00BF3BE9">
              <w:t xml:space="preserve">Some fund </w:t>
            </w:r>
            <w:r w:rsidR="002B2EAB" w:rsidRPr="00BF3BE9">
              <w:t xml:space="preserve">and resources </w:t>
            </w:r>
            <w:r w:rsidRPr="00BF3BE9">
              <w:t xml:space="preserve">will be available from </w:t>
            </w:r>
            <w:r w:rsidR="002B2EAB" w:rsidRPr="00BF3BE9">
              <w:t xml:space="preserve">for the conference from </w:t>
            </w:r>
            <w:r w:rsidR="00994B49">
              <w:t>with</w:t>
            </w:r>
            <w:r w:rsidR="002B2EAB" w:rsidRPr="00BF3BE9">
              <w:t>in Ireland</w:t>
            </w:r>
            <w:r w:rsidRPr="00BF3BE9">
              <w:t>.</w:t>
            </w:r>
            <w:r w:rsidR="002B2EAB" w:rsidRPr="00BF3BE9">
              <w:t xml:space="preserve"> </w:t>
            </w:r>
            <w:r w:rsidRPr="00BF3BE9">
              <w:t xml:space="preserve"> </w:t>
            </w:r>
            <w:r w:rsidR="002B2EAB" w:rsidRPr="00BF3BE9">
              <w:t xml:space="preserve">Conference fees will </w:t>
            </w:r>
            <w:r w:rsidR="008720C0" w:rsidRPr="00BF3BE9">
              <w:t xml:space="preserve">help defray some of </w:t>
            </w:r>
            <w:r w:rsidR="002B2EAB" w:rsidRPr="00BF3BE9">
              <w:t xml:space="preserve"> the costs of the conference</w:t>
            </w:r>
          </w:p>
        </w:tc>
      </w:tr>
      <w:tr w:rsidR="00350ADF" w:rsidRPr="00BB4F56">
        <w:trPr>
          <w:trHeight w:val="763"/>
          <w:jc w:val="center"/>
        </w:trPr>
        <w:tc>
          <w:tcPr>
            <w:tcW w:w="3369" w:type="dxa"/>
            <w:tcBorders>
              <w:top w:val="single" w:sz="6" w:space="0" w:color="000000"/>
              <w:bottom w:val="single" w:sz="6" w:space="0" w:color="000000"/>
            </w:tcBorders>
            <w:shd w:val="clear" w:color="auto" w:fill="auto"/>
            <w:vAlign w:val="center"/>
          </w:tcPr>
          <w:p w:rsidR="00350ADF" w:rsidRPr="00BB4F56" w:rsidRDefault="00350ADF" w:rsidP="00350ADF">
            <w:pPr>
              <w:rPr>
                <w:b/>
              </w:rPr>
            </w:pPr>
            <w:r w:rsidRPr="00BB4F56">
              <w:rPr>
                <w:b/>
              </w:rPr>
              <w:t>3.1.2  possible</w:t>
            </w:r>
          </w:p>
        </w:tc>
        <w:tc>
          <w:tcPr>
            <w:tcW w:w="6218" w:type="dxa"/>
            <w:gridSpan w:val="2"/>
            <w:tcBorders>
              <w:top w:val="single" w:sz="6" w:space="0" w:color="000000"/>
              <w:bottom w:val="single" w:sz="6" w:space="0" w:color="000000"/>
            </w:tcBorders>
            <w:shd w:val="clear" w:color="auto" w:fill="auto"/>
          </w:tcPr>
          <w:p w:rsidR="00350ADF" w:rsidRPr="00BB4F56" w:rsidRDefault="00350ADF" w:rsidP="00880727">
            <w:pPr>
              <w:ind w:left="360"/>
              <w:rPr>
                <w:color w:val="1F497D"/>
              </w:rPr>
            </w:pPr>
          </w:p>
        </w:tc>
      </w:tr>
      <w:tr w:rsidR="00350ADF" w:rsidRPr="00BB4F56">
        <w:trPr>
          <w:trHeight w:val="763"/>
          <w:jc w:val="center"/>
        </w:trPr>
        <w:tc>
          <w:tcPr>
            <w:tcW w:w="3369" w:type="dxa"/>
            <w:tcBorders>
              <w:top w:val="single" w:sz="6" w:space="0" w:color="000000"/>
              <w:bottom w:val="single" w:sz="6" w:space="0" w:color="000000"/>
            </w:tcBorders>
            <w:shd w:val="clear" w:color="auto" w:fill="auto"/>
            <w:vAlign w:val="center"/>
          </w:tcPr>
          <w:p w:rsidR="00350ADF" w:rsidRPr="00BB4F56" w:rsidRDefault="00350ADF" w:rsidP="00350ADF">
            <w:pPr>
              <w:rPr>
                <w:b/>
              </w:rPr>
            </w:pPr>
            <w:r w:rsidRPr="00BB4F56">
              <w:rPr>
                <w:b/>
              </w:rPr>
              <w:t>3.1.3  required</w:t>
            </w:r>
          </w:p>
        </w:tc>
        <w:tc>
          <w:tcPr>
            <w:tcW w:w="6218" w:type="dxa"/>
            <w:gridSpan w:val="2"/>
            <w:tcBorders>
              <w:top w:val="single" w:sz="6" w:space="0" w:color="000000"/>
              <w:bottom w:val="single" w:sz="6" w:space="0" w:color="000000"/>
            </w:tcBorders>
            <w:shd w:val="clear" w:color="auto" w:fill="auto"/>
          </w:tcPr>
          <w:p w:rsidR="00350ADF" w:rsidRPr="00FF7857" w:rsidRDefault="002B2EAB" w:rsidP="008720C0">
            <w:pPr>
              <w:ind w:left="360"/>
              <w:rPr>
                <w:color w:val="000000"/>
              </w:rPr>
            </w:pPr>
            <w:r w:rsidRPr="00FF7857">
              <w:rPr>
                <w:color w:val="000000"/>
              </w:rPr>
              <w:t>An EIFAAC budget is not required</w:t>
            </w:r>
            <w:r w:rsidR="003E7195" w:rsidRPr="00FF7857">
              <w:rPr>
                <w:color w:val="000000"/>
              </w:rPr>
              <w:t>.</w:t>
            </w:r>
          </w:p>
        </w:tc>
      </w:tr>
    </w:tbl>
    <w:p w:rsidR="00F30893" w:rsidRPr="00BB4F56" w:rsidRDefault="00F30893" w:rsidP="00F30893"/>
    <w:p w:rsidR="00E32667" w:rsidRPr="00BB4F56" w:rsidRDefault="00314197" w:rsidP="00314197">
      <w:pPr>
        <w:jc w:val="right"/>
        <w:rPr>
          <w:b/>
        </w:rPr>
      </w:pPr>
      <w:r w:rsidRPr="00BB4F56">
        <w:br w:type="page"/>
      </w:r>
      <w:r w:rsidRPr="00BB4F56">
        <w:rPr>
          <w:b/>
        </w:rPr>
        <w:lastRenderedPageBreak/>
        <w:t>Appendix A</w:t>
      </w:r>
    </w:p>
    <w:p w:rsidR="00314197" w:rsidRPr="00BB4F56" w:rsidRDefault="00314197" w:rsidP="00F30893"/>
    <w:p w:rsidR="00314197" w:rsidRPr="00BB4F56" w:rsidRDefault="00314197" w:rsidP="00F30893"/>
    <w:p w:rsidR="00314197" w:rsidRPr="00BB4F56" w:rsidRDefault="00314197" w:rsidP="00314197">
      <w:pPr>
        <w:jc w:val="center"/>
        <w:rPr>
          <w:b/>
        </w:rPr>
      </w:pPr>
      <w:r w:rsidRPr="00BB4F56">
        <w:rPr>
          <w:b/>
        </w:rPr>
        <w:t>EIFAAC STRATEGIC OBJECTIVES</w:t>
      </w:r>
    </w:p>
    <w:p w:rsidR="00314197" w:rsidRPr="00BB4F56" w:rsidRDefault="00314197" w:rsidP="00F30893"/>
    <w:p w:rsidR="0051738B" w:rsidRPr="00BB4F56" w:rsidRDefault="0051738B" w:rsidP="00F30893">
      <w:r w:rsidRPr="00BB4F56">
        <w:t>Select one of below list:</w:t>
      </w:r>
    </w:p>
    <w:p w:rsidR="00314197" w:rsidRPr="00BB4F56" w:rsidRDefault="00314197" w:rsidP="00F30893"/>
    <w:tbl>
      <w:tblPr>
        <w:tblW w:w="958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8719"/>
        <w:gridCol w:w="868"/>
      </w:tblGrid>
      <w:tr w:rsidR="0051738B" w:rsidRPr="00BB4F56">
        <w:trPr>
          <w:trHeight w:val="763"/>
          <w:jc w:val="center"/>
        </w:trPr>
        <w:tc>
          <w:tcPr>
            <w:tcW w:w="8719" w:type="dxa"/>
            <w:shd w:val="clear" w:color="auto" w:fill="auto"/>
            <w:vAlign w:val="center"/>
          </w:tcPr>
          <w:p w:rsidR="00B50CEF" w:rsidRPr="00BB4F56" w:rsidRDefault="00B50CEF" w:rsidP="00B50CEF">
            <w:pPr>
              <w:pStyle w:val="Default"/>
              <w:rPr>
                <w:b/>
                <w:bCs/>
                <w:sz w:val="22"/>
                <w:szCs w:val="22"/>
                <w:lang w:val="en-GB"/>
              </w:rPr>
            </w:pPr>
            <w:r w:rsidRPr="00BB4F56">
              <w:rPr>
                <w:b/>
                <w:bCs/>
                <w:sz w:val="22"/>
                <w:szCs w:val="22"/>
                <w:lang w:val="en-GB"/>
              </w:rPr>
              <w:t>I.</w:t>
            </w:r>
            <w:r w:rsidRPr="00BB4F56">
              <w:rPr>
                <w:b/>
                <w:bCs/>
                <w:sz w:val="22"/>
                <w:szCs w:val="22"/>
                <w:lang w:val="en-GB"/>
              </w:rPr>
              <w:tab/>
              <w:t>Management-related issues and principles for inland fisheries and aquaculture</w:t>
            </w:r>
          </w:p>
          <w:p w:rsidR="0051738B" w:rsidRPr="00BB4F56" w:rsidRDefault="0051738B" w:rsidP="00245038">
            <w:pPr>
              <w:rPr>
                <w:b/>
              </w:rPr>
            </w:pPr>
          </w:p>
        </w:tc>
        <w:tc>
          <w:tcPr>
            <w:tcW w:w="868" w:type="dxa"/>
            <w:shd w:val="clear" w:color="auto" w:fill="auto"/>
          </w:tcPr>
          <w:p w:rsidR="0051738B" w:rsidRPr="00BB4F56" w:rsidRDefault="0051738B" w:rsidP="00245038"/>
          <w:p w:rsidR="0051738B" w:rsidRPr="00BB4F56" w:rsidRDefault="0051738B" w:rsidP="00245038"/>
        </w:tc>
      </w:tr>
      <w:tr w:rsidR="00B50CEF" w:rsidRPr="00BB4F56">
        <w:trPr>
          <w:trHeight w:val="763"/>
          <w:jc w:val="center"/>
        </w:trPr>
        <w:tc>
          <w:tcPr>
            <w:tcW w:w="8719" w:type="dxa"/>
            <w:shd w:val="clear" w:color="auto" w:fill="auto"/>
            <w:vAlign w:val="center"/>
          </w:tcPr>
          <w:p w:rsidR="00B50CEF" w:rsidRPr="00BB4F56" w:rsidRDefault="00B50CEF" w:rsidP="0063369D">
            <w:pPr>
              <w:pStyle w:val="Default"/>
              <w:ind w:left="781" w:hanging="781"/>
              <w:rPr>
                <w:b/>
                <w:bCs/>
                <w:sz w:val="22"/>
                <w:szCs w:val="22"/>
                <w:lang w:val="en-GB"/>
              </w:rPr>
            </w:pPr>
            <w:r w:rsidRPr="00BB4F56">
              <w:rPr>
                <w:b/>
                <w:bCs/>
                <w:sz w:val="22"/>
                <w:szCs w:val="22"/>
                <w:lang w:val="en-GB"/>
              </w:rPr>
              <w:t>II.</w:t>
            </w:r>
            <w:r w:rsidRPr="00BB4F56">
              <w:rPr>
                <w:b/>
                <w:bCs/>
                <w:sz w:val="22"/>
                <w:szCs w:val="22"/>
                <w:lang w:val="en-GB"/>
              </w:rPr>
              <w:tab/>
              <w:t>Interactions and avoidance or resolution of conflicts in inland fisheries and aquaculture</w:t>
            </w:r>
          </w:p>
          <w:p w:rsidR="00B50CEF" w:rsidRPr="00BB4F56" w:rsidRDefault="00B50CEF" w:rsidP="00245038">
            <w:pPr>
              <w:rPr>
                <w:b/>
              </w:rPr>
            </w:pPr>
          </w:p>
        </w:tc>
        <w:tc>
          <w:tcPr>
            <w:tcW w:w="868" w:type="dxa"/>
            <w:shd w:val="clear" w:color="auto" w:fill="auto"/>
          </w:tcPr>
          <w:p w:rsidR="00B50CEF" w:rsidRPr="00BB4F56" w:rsidRDefault="00B50CEF" w:rsidP="00245038"/>
        </w:tc>
      </w:tr>
      <w:tr w:rsidR="00B50CEF" w:rsidRPr="00BB4F56">
        <w:trPr>
          <w:trHeight w:val="763"/>
          <w:jc w:val="center"/>
        </w:trPr>
        <w:tc>
          <w:tcPr>
            <w:tcW w:w="8719" w:type="dxa"/>
            <w:shd w:val="clear" w:color="auto" w:fill="auto"/>
            <w:vAlign w:val="center"/>
          </w:tcPr>
          <w:p w:rsidR="00B50CEF" w:rsidRPr="00BB4F56" w:rsidRDefault="00B50CEF" w:rsidP="00B50CEF">
            <w:pPr>
              <w:pStyle w:val="Default"/>
              <w:ind w:left="720" w:hanging="720"/>
              <w:rPr>
                <w:b/>
                <w:bCs/>
                <w:sz w:val="22"/>
                <w:szCs w:val="22"/>
                <w:lang w:val="en-GB"/>
              </w:rPr>
            </w:pPr>
            <w:smartTag w:uri="urn:schemas-microsoft-com:office:smarttags" w:element="stockticker">
              <w:r w:rsidRPr="00BB4F56">
                <w:rPr>
                  <w:b/>
                  <w:bCs/>
                  <w:sz w:val="22"/>
                  <w:szCs w:val="22"/>
                  <w:lang w:val="en-GB"/>
                </w:rPr>
                <w:t>III</w:t>
              </w:r>
            </w:smartTag>
            <w:r w:rsidRPr="00BB4F56">
              <w:rPr>
                <w:b/>
                <w:bCs/>
                <w:sz w:val="22"/>
                <w:szCs w:val="22"/>
                <w:lang w:val="en-GB"/>
              </w:rPr>
              <w:t>.</w:t>
            </w:r>
            <w:r w:rsidRPr="00BB4F56">
              <w:rPr>
                <w:b/>
                <w:bCs/>
                <w:sz w:val="22"/>
                <w:szCs w:val="22"/>
                <w:lang w:val="en-GB"/>
              </w:rPr>
              <w:tab/>
              <w:t>Harmonization of cross-border and cross-sectoral governance and legal aspects of inland fisheries and aquaculture</w:t>
            </w:r>
          </w:p>
          <w:p w:rsidR="00B50CEF" w:rsidRPr="00BB4F56" w:rsidRDefault="00B50CEF" w:rsidP="00245038">
            <w:pPr>
              <w:rPr>
                <w:b/>
              </w:rPr>
            </w:pPr>
          </w:p>
        </w:tc>
        <w:tc>
          <w:tcPr>
            <w:tcW w:w="868" w:type="dxa"/>
            <w:shd w:val="clear" w:color="auto" w:fill="auto"/>
          </w:tcPr>
          <w:p w:rsidR="00B50CEF" w:rsidRPr="00BB4F56" w:rsidRDefault="00B50CEF" w:rsidP="00245038"/>
        </w:tc>
      </w:tr>
      <w:tr w:rsidR="00B50CEF" w:rsidRPr="00BB4F56">
        <w:trPr>
          <w:trHeight w:val="763"/>
          <w:jc w:val="center"/>
        </w:trPr>
        <w:tc>
          <w:tcPr>
            <w:tcW w:w="8719" w:type="dxa"/>
            <w:shd w:val="clear" w:color="auto" w:fill="auto"/>
            <w:vAlign w:val="center"/>
          </w:tcPr>
          <w:p w:rsidR="0063369D" w:rsidRPr="00BB4F56" w:rsidRDefault="0063369D" w:rsidP="0063369D">
            <w:pPr>
              <w:pStyle w:val="Default"/>
              <w:rPr>
                <w:b/>
                <w:bCs/>
                <w:sz w:val="22"/>
                <w:szCs w:val="22"/>
                <w:lang w:val="en-GB"/>
              </w:rPr>
            </w:pPr>
            <w:r w:rsidRPr="00BB4F56">
              <w:rPr>
                <w:b/>
                <w:bCs/>
                <w:sz w:val="22"/>
                <w:szCs w:val="22"/>
                <w:lang w:val="en-GB"/>
              </w:rPr>
              <w:t>IV.</w:t>
            </w:r>
            <w:r w:rsidRPr="00BB4F56">
              <w:rPr>
                <w:b/>
                <w:bCs/>
                <w:sz w:val="22"/>
                <w:szCs w:val="22"/>
                <w:lang w:val="en-GB"/>
              </w:rPr>
              <w:tab/>
              <w:t>Protection and restoration of the environment and species</w:t>
            </w:r>
          </w:p>
          <w:p w:rsidR="00B50CEF" w:rsidRPr="00BB4F56" w:rsidRDefault="00B50CEF" w:rsidP="00245038">
            <w:pPr>
              <w:rPr>
                <w:b/>
              </w:rPr>
            </w:pPr>
          </w:p>
        </w:tc>
        <w:tc>
          <w:tcPr>
            <w:tcW w:w="868" w:type="dxa"/>
            <w:shd w:val="clear" w:color="auto" w:fill="auto"/>
          </w:tcPr>
          <w:p w:rsidR="00B50CEF" w:rsidRPr="00BB4F56" w:rsidRDefault="00B50CEF" w:rsidP="00245038"/>
        </w:tc>
      </w:tr>
      <w:tr w:rsidR="00B50CEF" w:rsidRPr="00BB4F56">
        <w:trPr>
          <w:trHeight w:val="763"/>
          <w:jc w:val="center"/>
        </w:trPr>
        <w:tc>
          <w:tcPr>
            <w:tcW w:w="8719" w:type="dxa"/>
            <w:shd w:val="clear" w:color="auto" w:fill="auto"/>
            <w:vAlign w:val="center"/>
          </w:tcPr>
          <w:p w:rsidR="0063369D" w:rsidRPr="00BB4F56" w:rsidRDefault="0063369D" w:rsidP="0063369D">
            <w:pPr>
              <w:pStyle w:val="Default"/>
              <w:rPr>
                <w:b/>
                <w:bCs/>
                <w:sz w:val="22"/>
                <w:szCs w:val="22"/>
                <w:lang w:val="en-GB"/>
              </w:rPr>
            </w:pPr>
            <w:r w:rsidRPr="00BB4F56">
              <w:rPr>
                <w:b/>
                <w:bCs/>
                <w:sz w:val="22"/>
                <w:szCs w:val="22"/>
                <w:lang w:val="en-GB"/>
              </w:rPr>
              <w:t>V.</w:t>
            </w:r>
            <w:r w:rsidRPr="00BB4F56">
              <w:rPr>
                <w:b/>
                <w:bCs/>
                <w:sz w:val="22"/>
                <w:szCs w:val="22"/>
                <w:lang w:val="en-GB"/>
              </w:rPr>
              <w:tab/>
              <w:t>Trade and economic aspects of inland fisheries and aquaculture</w:t>
            </w:r>
          </w:p>
          <w:p w:rsidR="00B50CEF" w:rsidRPr="00BB4F56" w:rsidRDefault="00B50CEF" w:rsidP="00245038">
            <w:pPr>
              <w:rPr>
                <w:b/>
              </w:rPr>
            </w:pPr>
          </w:p>
        </w:tc>
        <w:tc>
          <w:tcPr>
            <w:tcW w:w="868" w:type="dxa"/>
            <w:shd w:val="clear" w:color="auto" w:fill="auto"/>
          </w:tcPr>
          <w:p w:rsidR="00B50CEF" w:rsidRPr="00BB4F56" w:rsidRDefault="00B50CEF" w:rsidP="00245038"/>
        </w:tc>
      </w:tr>
      <w:tr w:rsidR="00B50CEF" w:rsidRPr="00BB4F56">
        <w:trPr>
          <w:trHeight w:val="763"/>
          <w:jc w:val="center"/>
        </w:trPr>
        <w:tc>
          <w:tcPr>
            <w:tcW w:w="8719" w:type="dxa"/>
            <w:shd w:val="clear" w:color="auto" w:fill="auto"/>
            <w:vAlign w:val="center"/>
          </w:tcPr>
          <w:p w:rsidR="0063369D" w:rsidRPr="00BB4F56" w:rsidRDefault="0063369D" w:rsidP="0063369D">
            <w:pPr>
              <w:pStyle w:val="Default"/>
              <w:rPr>
                <w:b/>
                <w:bCs/>
                <w:sz w:val="22"/>
                <w:szCs w:val="22"/>
                <w:lang w:val="en-GB"/>
              </w:rPr>
            </w:pPr>
            <w:r w:rsidRPr="00BB4F56">
              <w:rPr>
                <w:b/>
                <w:bCs/>
                <w:sz w:val="22"/>
                <w:szCs w:val="22"/>
                <w:lang w:val="en-GB"/>
              </w:rPr>
              <w:t>VI.</w:t>
            </w:r>
            <w:r w:rsidRPr="00BB4F56">
              <w:rPr>
                <w:b/>
                <w:bCs/>
                <w:sz w:val="22"/>
                <w:szCs w:val="22"/>
                <w:lang w:val="en-GB"/>
              </w:rPr>
              <w:tab/>
              <w:t>Development of databases on inland fisheries and aquaculture</w:t>
            </w:r>
          </w:p>
          <w:p w:rsidR="00B50CEF" w:rsidRPr="00BB4F56" w:rsidRDefault="00B50CEF" w:rsidP="00245038">
            <w:pPr>
              <w:rPr>
                <w:b/>
              </w:rPr>
            </w:pPr>
          </w:p>
        </w:tc>
        <w:tc>
          <w:tcPr>
            <w:tcW w:w="868" w:type="dxa"/>
            <w:shd w:val="clear" w:color="auto" w:fill="auto"/>
          </w:tcPr>
          <w:p w:rsidR="00B50CEF" w:rsidRPr="00BB4F56" w:rsidRDefault="00B50CEF" w:rsidP="00245038"/>
        </w:tc>
      </w:tr>
      <w:tr w:rsidR="0063369D" w:rsidRPr="00BB4F56">
        <w:trPr>
          <w:trHeight w:val="763"/>
          <w:jc w:val="center"/>
        </w:trPr>
        <w:tc>
          <w:tcPr>
            <w:tcW w:w="8719" w:type="dxa"/>
            <w:shd w:val="clear" w:color="auto" w:fill="auto"/>
            <w:vAlign w:val="center"/>
          </w:tcPr>
          <w:p w:rsidR="0063369D" w:rsidRPr="00BB4F56" w:rsidRDefault="0063369D" w:rsidP="0063369D">
            <w:pPr>
              <w:pStyle w:val="Default"/>
              <w:rPr>
                <w:b/>
                <w:sz w:val="22"/>
                <w:szCs w:val="22"/>
                <w:lang w:val="en-GB"/>
              </w:rPr>
            </w:pPr>
            <w:smartTag w:uri="urn:schemas-microsoft-com:office:smarttags" w:element="stockticker">
              <w:r w:rsidRPr="00BB4F56">
                <w:rPr>
                  <w:b/>
                  <w:bCs/>
                  <w:sz w:val="22"/>
                  <w:szCs w:val="22"/>
                  <w:lang w:val="en-GB"/>
                </w:rPr>
                <w:t>VII</w:t>
              </w:r>
            </w:smartTag>
            <w:r w:rsidRPr="00BB4F56">
              <w:rPr>
                <w:b/>
                <w:bCs/>
                <w:sz w:val="22"/>
                <w:szCs w:val="22"/>
                <w:lang w:val="en-GB"/>
              </w:rPr>
              <w:t>.</w:t>
            </w:r>
            <w:r w:rsidRPr="00BB4F56">
              <w:rPr>
                <w:b/>
                <w:bCs/>
                <w:sz w:val="22"/>
                <w:szCs w:val="22"/>
                <w:lang w:val="en-GB"/>
              </w:rPr>
              <w:tab/>
              <w:t>Climate chang</w:t>
            </w:r>
            <w:r w:rsidRPr="00BB4F56">
              <w:rPr>
                <w:b/>
                <w:sz w:val="22"/>
                <w:szCs w:val="22"/>
                <w:lang w:val="en-GB"/>
              </w:rPr>
              <w:t>e</w:t>
            </w:r>
          </w:p>
          <w:p w:rsidR="0063369D" w:rsidRPr="00BB4F56" w:rsidRDefault="0063369D" w:rsidP="0063369D">
            <w:pPr>
              <w:pStyle w:val="Default"/>
              <w:rPr>
                <w:b/>
                <w:bCs/>
                <w:sz w:val="22"/>
                <w:szCs w:val="22"/>
                <w:lang w:val="en-GB"/>
              </w:rPr>
            </w:pPr>
          </w:p>
        </w:tc>
        <w:tc>
          <w:tcPr>
            <w:tcW w:w="868" w:type="dxa"/>
            <w:shd w:val="clear" w:color="auto" w:fill="auto"/>
          </w:tcPr>
          <w:p w:rsidR="0063369D" w:rsidRPr="00BB4F56" w:rsidRDefault="0063369D" w:rsidP="00245038"/>
        </w:tc>
      </w:tr>
    </w:tbl>
    <w:p w:rsidR="00314197" w:rsidRPr="00BB4F56" w:rsidRDefault="00314197" w:rsidP="00F30893"/>
    <w:p w:rsidR="00314197" w:rsidRPr="00BB4F56" w:rsidRDefault="00314197" w:rsidP="00314197"/>
    <w:p w:rsidR="00314197" w:rsidRPr="00BB4F56" w:rsidRDefault="00314197" w:rsidP="00314197"/>
    <w:p w:rsidR="00670444" w:rsidRPr="00BB4F56" w:rsidRDefault="00670444" w:rsidP="00314197"/>
    <w:p w:rsidR="00670444" w:rsidRPr="00BB4F56" w:rsidRDefault="00670444" w:rsidP="00314197"/>
    <w:p w:rsidR="00670444" w:rsidRPr="00BB4F56" w:rsidRDefault="00670444" w:rsidP="00314197"/>
    <w:p w:rsidR="00670444" w:rsidRPr="00BB4F56" w:rsidRDefault="00670444" w:rsidP="00314197"/>
    <w:p w:rsidR="00F30893" w:rsidRPr="00BB4F56" w:rsidRDefault="00E32667" w:rsidP="00F30893">
      <w:r w:rsidRPr="00BB4F56">
        <w:t>-----------------------------------------------------------------------------------------------------------------</w:t>
      </w:r>
    </w:p>
    <w:p w:rsidR="00F30893" w:rsidRPr="00BB4F56" w:rsidRDefault="00F30893" w:rsidP="00F30893"/>
    <w:p w:rsidR="00F30893" w:rsidRPr="00BB4F56" w:rsidRDefault="00F30893" w:rsidP="00F30893"/>
    <w:p w:rsidR="00F30893" w:rsidRPr="00BB4F56" w:rsidRDefault="00F30893" w:rsidP="00F30893">
      <w:pPr>
        <w:jc w:val="right"/>
        <w:rPr>
          <w:b/>
        </w:rPr>
      </w:pPr>
      <w:r w:rsidRPr="00BB4F56">
        <w:rPr>
          <w:b/>
        </w:rPr>
        <w:t>Annex 1</w:t>
      </w:r>
    </w:p>
    <w:p w:rsidR="00F30893" w:rsidRPr="00BB4F56" w:rsidRDefault="00F30893" w:rsidP="00F30893">
      <w:r w:rsidRPr="00BB4F56">
        <w:t>Please list ACRONYMS used in the above template</w:t>
      </w:r>
    </w:p>
    <w:p w:rsidR="000D6546" w:rsidRPr="00BB4F56" w:rsidRDefault="000D6546"/>
    <w:sectPr w:rsidR="000D6546" w:rsidRPr="00BB4F56" w:rsidSect="00985AA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A1" w:rsidRDefault="009F66A1">
      <w:r>
        <w:separator/>
      </w:r>
    </w:p>
  </w:endnote>
  <w:endnote w:type="continuationSeparator" w:id="0">
    <w:p w:rsidR="009F66A1" w:rsidRDefault="009F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A1" w:rsidRDefault="009F66A1">
      <w:r>
        <w:separator/>
      </w:r>
    </w:p>
  </w:footnote>
  <w:footnote w:type="continuationSeparator" w:id="0">
    <w:p w:rsidR="009F66A1" w:rsidRDefault="009F66A1">
      <w:r>
        <w:continuationSeparator/>
      </w:r>
    </w:p>
  </w:footnote>
  <w:footnote w:id="1">
    <w:p w:rsidR="00132C81" w:rsidRPr="00E363A2" w:rsidRDefault="00132C81">
      <w:pPr>
        <w:pStyle w:val="FootnoteText"/>
        <w:rPr>
          <w:lang w:val="en-IE"/>
        </w:rPr>
      </w:pPr>
      <w:r>
        <w:rPr>
          <w:rStyle w:val="FootnoteReference"/>
        </w:rPr>
        <w:footnoteRef/>
      </w:r>
      <w:r>
        <w:t xml:space="preserve"> Please use A</w:t>
      </w:r>
      <w:r w:rsidRPr="00E2080A">
        <w:t>nnex 1 to list all acronyms used in th</w:t>
      </w:r>
      <w:r>
        <w:t>is</w:t>
      </w:r>
      <w:r w:rsidRPr="00E2080A">
        <w:t xml:space="preserve"> </w:t>
      </w:r>
      <w:r w:rsidRPr="005F76DD">
        <w:t>template</w:t>
      </w:r>
    </w:p>
  </w:footnote>
  <w:footnote w:id="2">
    <w:p w:rsidR="00132C81" w:rsidRPr="00BF3BE9" w:rsidRDefault="00132C81">
      <w:pPr>
        <w:pStyle w:val="FootnoteText"/>
        <w:rPr>
          <w:lang w:val="en-US"/>
        </w:rPr>
      </w:pPr>
      <w:r>
        <w:rPr>
          <w:rStyle w:val="FootnoteReference"/>
        </w:rPr>
        <w:footnoteRef/>
      </w:r>
      <w:r>
        <w:t xml:space="preserve"> </w:t>
      </w:r>
      <w:r>
        <w:rPr>
          <w:rStyle w:val="FootnoteReference"/>
        </w:rPr>
        <w:footnoteRef/>
      </w:r>
      <w:r>
        <w:t xml:space="preserve"> </w:t>
      </w:r>
      <w:r w:rsidRPr="001415E7">
        <w:t>Explain what is the specific, unique role of EIFAAC compared to other groups/organisations that may deal with this subject, too? Has EIFAAC the role of being “</w:t>
      </w:r>
      <w:r>
        <w:t>lead agency</w:t>
      </w:r>
      <w:r w:rsidRPr="001415E7">
        <w:t xml:space="preserve">”, “participant” or </w:t>
      </w:r>
      <w:r>
        <w:t>other role</w:t>
      </w:r>
      <w:r w:rsidRPr="001415E7">
        <w:t>?</w:t>
      </w:r>
    </w:p>
  </w:footnote>
  <w:footnote w:id="3">
    <w:p w:rsidR="00132C81" w:rsidRPr="006B77A3" w:rsidRDefault="00132C81" w:rsidP="00C51D76">
      <w:pPr>
        <w:pStyle w:val="FootnoteText"/>
        <w:rPr>
          <w:lang w:val="en-US"/>
        </w:rPr>
      </w:pPr>
      <w:r w:rsidRPr="006B77A3">
        <w:rPr>
          <w:rStyle w:val="FootnoteReference"/>
        </w:rPr>
        <w:footnoteRef/>
      </w:r>
      <w:r>
        <w:t xml:space="preserve"> </w:t>
      </w:r>
      <w:r w:rsidRPr="006B77A3">
        <w:rPr>
          <w:lang w:val="en-US"/>
        </w:rPr>
        <w:t xml:space="preserve">Statement of </w:t>
      </w:r>
      <w:r>
        <w:rPr>
          <w:lang w:val="en-US"/>
        </w:rPr>
        <w:t>the</w:t>
      </w:r>
      <w:r w:rsidRPr="006B77A3">
        <w:rPr>
          <w:lang w:val="en-US"/>
        </w:rPr>
        <w:t xml:space="preserve"> </w:t>
      </w:r>
      <w:r>
        <w:rPr>
          <w:lang w:val="en-US"/>
        </w:rPr>
        <w:t>objective(</w:t>
      </w:r>
      <w:r w:rsidRPr="006B77A3">
        <w:rPr>
          <w:lang w:val="en-US"/>
        </w:rPr>
        <w:t>s</w:t>
      </w:r>
      <w:r>
        <w:rPr>
          <w:lang w:val="en-US"/>
        </w:rPr>
        <w:t xml:space="preserve">) (PLEASE NOTE: objectives need to be </w:t>
      </w:r>
      <w:r w:rsidRPr="007D5D22">
        <w:rPr>
          <w:b/>
          <w:lang w:val="en-US"/>
        </w:rPr>
        <w:t>SMART</w:t>
      </w:r>
      <w:r>
        <w:rPr>
          <w:lang w:val="en-US"/>
        </w:rPr>
        <w:t xml:space="preserve">: </w:t>
      </w:r>
      <w:r w:rsidRPr="00B864A9">
        <w:rPr>
          <w:b/>
          <w:lang w:val="en-US"/>
        </w:rPr>
        <w:t>S</w:t>
      </w:r>
      <w:r>
        <w:rPr>
          <w:lang w:val="en-US"/>
        </w:rPr>
        <w:t>pecific</w:t>
      </w:r>
      <w:proofErr w:type="gramStart"/>
      <w:r>
        <w:rPr>
          <w:lang w:val="en-US"/>
        </w:rPr>
        <w:t xml:space="preserve">,  </w:t>
      </w:r>
      <w:r>
        <w:rPr>
          <w:b/>
          <w:lang w:val="en-US"/>
        </w:rPr>
        <w:t>M</w:t>
      </w:r>
      <w:r>
        <w:rPr>
          <w:lang w:val="en-US"/>
        </w:rPr>
        <w:t>easurable</w:t>
      </w:r>
      <w:proofErr w:type="gramEnd"/>
      <w:r>
        <w:rPr>
          <w:lang w:val="en-US"/>
        </w:rPr>
        <w:t xml:space="preserve">,  </w:t>
      </w:r>
      <w:r>
        <w:rPr>
          <w:b/>
          <w:lang w:val="en-US"/>
        </w:rPr>
        <w:t>A</w:t>
      </w:r>
      <w:r>
        <w:rPr>
          <w:lang w:val="en-US"/>
        </w:rPr>
        <w:t xml:space="preserve">ttainable, </w:t>
      </w:r>
      <w:r>
        <w:rPr>
          <w:b/>
          <w:lang w:val="en-US"/>
        </w:rPr>
        <w:t>R</w:t>
      </w:r>
      <w:r>
        <w:rPr>
          <w:lang w:val="en-US"/>
        </w:rPr>
        <w:t xml:space="preserve">elevant and </w:t>
      </w:r>
      <w:r>
        <w:rPr>
          <w:b/>
          <w:lang w:val="en-US"/>
        </w:rPr>
        <w:t>T</w:t>
      </w:r>
      <w:r>
        <w:rPr>
          <w:lang w:val="en-US"/>
        </w:rPr>
        <w:t>ime-bound).</w:t>
      </w:r>
    </w:p>
  </w:footnote>
  <w:footnote w:id="4">
    <w:p w:rsidR="00132C81" w:rsidRPr="006B77A3" w:rsidRDefault="00132C81" w:rsidP="00F30893">
      <w:pPr>
        <w:pStyle w:val="FootnoteText"/>
        <w:rPr>
          <w:lang w:val="en-US"/>
        </w:rPr>
      </w:pPr>
      <w:r w:rsidRPr="006B77A3">
        <w:rPr>
          <w:rStyle w:val="FootnoteReference"/>
        </w:rPr>
        <w:footnoteRef/>
      </w:r>
      <w:r w:rsidRPr="006B77A3">
        <w:t xml:space="preserve"> </w:t>
      </w:r>
      <w:r w:rsidRPr="006B77A3">
        <w:rPr>
          <w:lang w:val="en-US"/>
        </w:rPr>
        <w:t>Reason for the project; why the project is important and key outcomes and stakeholders.</w:t>
      </w:r>
    </w:p>
  </w:footnote>
  <w:footnote w:id="5">
    <w:p w:rsidR="00132C81" w:rsidRPr="006B77A3" w:rsidRDefault="00132C81" w:rsidP="00F30893">
      <w:pPr>
        <w:pStyle w:val="FootnoteText"/>
        <w:rPr>
          <w:lang w:val="en-US"/>
        </w:rPr>
      </w:pPr>
      <w:r w:rsidRPr="006B77A3">
        <w:rPr>
          <w:vertAlign w:val="superscript"/>
          <w:lang w:val="en-US"/>
        </w:rPr>
        <w:footnoteRef/>
      </w:r>
      <w:r w:rsidRPr="006B77A3">
        <w:rPr>
          <w:vertAlign w:val="superscript"/>
          <w:lang w:val="en-US"/>
        </w:rPr>
        <w:t xml:space="preserve"> </w:t>
      </w:r>
      <w:r w:rsidRPr="006B77A3">
        <w:rPr>
          <w:lang w:val="en-US"/>
        </w:rPr>
        <w:t>e.g., serve as chair, report to appropriate bodies, set agenda and work plan, coordinate country reports and running of the meeting, edit report, edit draft advice.</w:t>
      </w:r>
    </w:p>
  </w:footnote>
  <w:footnote w:id="6">
    <w:p w:rsidR="00132C81" w:rsidRPr="006B77A3" w:rsidRDefault="00132C81" w:rsidP="00F30893">
      <w:pPr>
        <w:pStyle w:val="FootnoteText"/>
      </w:pPr>
      <w:r w:rsidRPr="006B77A3">
        <w:rPr>
          <w:rStyle w:val="FootnoteReference"/>
        </w:rPr>
        <w:footnoteRef/>
      </w:r>
      <w:r w:rsidRPr="006B77A3">
        <w:t xml:space="preserve"> Identify</w:t>
      </w:r>
      <w:r>
        <w:t xml:space="preserve"> potential</w:t>
      </w:r>
      <w:r w:rsidRPr="006B77A3">
        <w:t xml:space="preserve"> participants; include details of relevance of the participant to the project and the capacity in which participation is carried out.</w:t>
      </w:r>
    </w:p>
  </w:footnote>
  <w:footnote w:id="7">
    <w:p w:rsidR="00132C81" w:rsidRPr="00872CD2" w:rsidRDefault="00132C81">
      <w:pPr>
        <w:pStyle w:val="FootnoteText"/>
        <w:rPr>
          <w:lang w:val="en-US"/>
        </w:rPr>
      </w:pPr>
      <w:r>
        <w:rPr>
          <w:rStyle w:val="FootnoteReference"/>
        </w:rPr>
        <w:footnoteRef/>
      </w:r>
      <w:r>
        <w:t xml:space="preserve"> Expected/intended duration of the project</w:t>
      </w:r>
    </w:p>
  </w:footnote>
  <w:footnote w:id="8">
    <w:p w:rsidR="00132C81" w:rsidRPr="007A7F64" w:rsidRDefault="00132C81">
      <w:pPr>
        <w:pStyle w:val="FootnoteText"/>
        <w:rPr>
          <w:lang w:val="en-US"/>
        </w:rPr>
      </w:pPr>
      <w:r>
        <w:rPr>
          <w:rStyle w:val="FootnoteReference"/>
        </w:rPr>
        <w:footnoteRef/>
      </w:r>
      <w:r>
        <w:t xml:space="preserve"> List potential project deliverables; e.g. Policy guidelines; best-practice guidelines; recommendations; scientific report; project report; etc</w:t>
      </w:r>
    </w:p>
  </w:footnote>
  <w:footnote w:id="9">
    <w:p w:rsidR="00132C81" w:rsidRPr="006B77A3" w:rsidRDefault="00132C81" w:rsidP="00F30893">
      <w:pPr>
        <w:pStyle w:val="FootnoteText"/>
        <w:rPr>
          <w:lang w:val="en-US"/>
        </w:rPr>
      </w:pPr>
      <w:r w:rsidRPr="006B77A3">
        <w:rPr>
          <w:rStyle w:val="FootnoteReference"/>
        </w:rPr>
        <w:footnoteRef/>
      </w:r>
      <w:r w:rsidRPr="006B77A3">
        <w:t xml:space="preserve"> </w:t>
      </w:r>
      <w:r>
        <w:t xml:space="preserve">How the project work to be is conducted </w:t>
      </w:r>
      <w:r w:rsidRPr="006B77A3">
        <w:rPr>
          <w:lang w:val="en-US"/>
        </w:rPr>
        <w:t>e.g. meetings, workshops, literature review, research.</w:t>
      </w:r>
      <w:r>
        <w:rPr>
          <w:lang w:val="en-US"/>
        </w:rPr>
        <w:t xml:space="preserve"> A methodology should be provided for and closely linked with each of the objectives. </w:t>
      </w:r>
    </w:p>
  </w:footnote>
  <w:footnote w:id="10">
    <w:p w:rsidR="00132C81" w:rsidRPr="00350ADF" w:rsidRDefault="00132C81" w:rsidP="00ED02C4">
      <w:pPr>
        <w:pStyle w:val="FootnoteText"/>
      </w:pPr>
      <w:r>
        <w:rPr>
          <w:rStyle w:val="FootnoteReference"/>
        </w:rPr>
        <w:footnoteRef/>
      </w:r>
      <w:r>
        <w:t xml:space="preserve"> In relation to budget, a</w:t>
      </w:r>
      <w:r w:rsidRPr="00350ADF">
        <w:t xml:space="preserve">nswer each </w:t>
      </w:r>
      <w:r>
        <w:t xml:space="preserve">of the three categories </w:t>
      </w:r>
      <w:r w:rsidRPr="00350ADF">
        <w:t xml:space="preserve">with </w:t>
      </w:r>
      <w:r>
        <w:t>“</w:t>
      </w:r>
      <w:r w:rsidRPr="00350ADF">
        <w:t>yes</w:t>
      </w:r>
      <w:r>
        <w:t>”</w:t>
      </w:r>
      <w:r w:rsidRPr="00350ADF">
        <w:t xml:space="preserve"> or </w:t>
      </w:r>
      <w:r>
        <w:t>“</w:t>
      </w:r>
      <w:r w:rsidRPr="00350ADF">
        <w:t>no</w:t>
      </w:r>
      <w:r>
        <w:t>”, and provide details if appropriate/needed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C4E3B"/>
    <w:multiLevelType w:val="multilevel"/>
    <w:tmpl w:val="DF426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C24291B"/>
    <w:multiLevelType w:val="hybridMultilevel"/>
    <w:tmpl w:val="5BEE4246"/>
    <w:lvl w:ilvl="0" w:tplc="06F06D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21A5493"/>
    <w:multiLevelType w:val="multilevel"/>
    <w:tmpl w:val="1BA046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6D76B3E"/>
    <w:multiLevelType w:val="multilevel"/>
    <w:tmpl w:val="FF5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55"/>
    <w:rsid w:val="00023099"/>
    <w:rsid w:val="00025FFD"/>
    <w:rsid w:val="000345BF"/>
    <w:rsid w:val="00062943"/>
    <w:rsid w:val="00071C02"/>
    <w:rsid w:val="000732EF"/>
    <w:rsid w:val="00081668"/>
    <w:rsid w:val="00087F29"/>
    <w:rsid w:val="000A1C51"/>
    <w:rsid w:val="000B59A0"/>
    <w:rsid w:val="000D57D2"/>
    <w:rsid w:val="000D6546"/>
    <w:rsid w:val="000E32EC"/>
    <w:rsid w:val="000E56DB"/>
    <w:rsid w:val="000F58E7"/>
    <w:rsid w:val="000F7D1C"/>
    <w:rsid w:val="00112EEC"/>
    <w:rsid w:val="001255B5"/>
    <w:rsid w:val="00132C81"/>
    <w:rsid w:val="00133947"/>
    <w:rsid w:val="001A0625"/>
    <w:rsid w:val="002015BD"/>
    <w:rsid w:val="00215D54"/>
    <w:rsid w:val="00233D1E"/>
    <w:rsid w:val="00245038"/>
    <w:rsid w:val="002670A5"/>
    <w:rsid w:val="00267C4E"/>
    <w:rsid w:val="00274449"/>
    <w:rsid w:val="00275C50"/>
    <w:rsid w:val="00293D61"/>
    <w:rsid w:val="002A1286"/>
    <w:rsid w:val="002A4CCF"/>
    <w:rsid w:val="002B2EAB"/>
    <w:rsid w:val="002C0010"/>
    <w:rsid w:val="002E7FD9"/>
    <w:rsid w:val="00310A93"/>
    <w:rsid w:val="00314197"/>
    <w:rsid w:val="00324396"/>
    <w:rsid w:val="00345831"/>
    <w:rsid w:val="00350ADF"/>
    <w:rsid w:val="00356384"/>
    <w:rsid w:val="00384204"/>
    <w:rsid w:val="003860BD"/>
    <w:rsid w:val="00396DD1"/>
    <w:rsid w:val="00397E2F"/>
    <w:rsid w:val="003A247E"/>
    <w:rsid w:val="003B5BD9"/>
    <w:rsid w:val="003E1ED6"/>
    <w:rsid w:val="003E6373"/>
    <w:rsid w:val="003E7195"/>
    <w:rsid w:val="003F1490"/>
    <w:rsid w:val="003F41C9"/>
    <w:rsid w:val="00400894"/>
    <w:rsid w:val="00414901"/>
    <w:rsid w:val="004168DD"/>
    <w:rsid w:val="00444C35"/>
    <w:rsid w:val="00450351"/>
    <w:rsid w:val="004605A8"/>
    <w:rsid w:val="004622AE"/>
    <w:rsid w:val="00463A25"/>
    <w:rsid w:val="00486DAB"/>
    <w:rsid w:val="00490171"/>
    <w:rsid w:val="004C1056"/>
    <w:rsid w:val="004D0770"/>
    <w:rsid w:val="004D1541"/>
    <w:rsid w:val="004D247D"/>
    <w:rsid w:val="004F4DE7"/>
    <w:rsid w:val="00504E68"/>
    <w:rsid w:val="005103BA"/>
    <w:rsid w:val="0051738B"/>
    <w:rsid w:val="00546384"/>
    <w:rsid w:val="00571FD9"/>
    <w:rsid w:val="00594F1F"/>
    <w:rsid w:val="005B0374"/>
    <w:rsid w:val="005C7360"/>
    <w:rsid w:val="005F0FE5"/>
    <w:rsid w:val="00620090"/>
    <w:rsid w:val="00622257"/>
    <w:rsid w:val="00627255"/>
    <w:rsid w:val="0063369D"/>
    <w:rsid w:val="006367A1"/>
    <w:rsid w:val="00657FDB"/>
    <w:rsid w:val="00670444"/>
    <w:rsid w:val="00677136"/>
    <w:rsid w:val="0068033C"/>
    <w:rsid w:val="00684AC0"/>
    <w:rsid w:val="00686466"/>
    <w:rsid w:val="006979AD"/>
    <w:rsid w:val="006A3F81"/>
    <w:rsid w:val="006B33BA"/>
    <w:rsid w:val="006C4FBB"/>
    <w:rsid w:val="006D0C61"/>
    <w:rsid w:val="006D29F6"/>
    <w:rsid w:val="006E68D9"/>
    <w:rsid w:val="00715812"/>
    <w:rsid w:val="0071731C"/>
    <w:rsid w:val="007247DA"/>
    <w:rsid w:val="00736E1A"/>
    <w:rsid w:val="00766871"/>
    <w:rsid w:val="007A2117"/>
    <w:rsid w:val="007A2870"/>
    <w:rsid w:val="007A7F64"/>
    <w:rsid w:val="007B1699"/>
    <w:rsid w:val="007D4213"/>
    <w:rsid w:val="007E144E"/>
    <w:rsid w:val="007E5FB8"/>
    <w:rsid w:val="00804149"/>
    <w:rsid w:val="008067B2"/>
    <w:rsid w:val="00826AFB"/>
    <w:rsid w:val="008375B4"/>
    <w:rsid w:val="008720C0"/>
    <w:rsid w:val="00872CD2"/>
    <w:rsid w:val="00875D27"/>
    <w:rsid w:val="00880727"/>
    <w:rsid w:val="008A09F0"/>
    <w:rsid w:val="008B094F"/>
    <w:rsid w:val="008B3138"/>
    <w:rsid w:val="008C2FC7"/>
    <w:rsid w:val="008C3EBE"/>
    <w:rsid w:val="008C7863"/>
    <w:rsid w:val="008D227C"/>
    <w:rsid w:val="008D7875"/>
    <w:rsid w:val="008E3C5E"/>
    <w:rsid w:val="009201AC"/>
    <w:rsid w:val="009423B0"/>
    <w:rsid w:val="00962AC1"/>
    <w:rsid w:val="00982712"/>
    <w:rsid w:val="00985AAB"/>
    <w:rsid w:val="00994B49"/>
    <w:rsid w:val="009D4C76"/>
    <w:rsid w:val="009F201B"/>
    <w:rsid w:val="009F66A1"/>
    <w:rsid w:val="00A22646"/>
    <w:rsid w:val="00A4320A"/>
    <w:rsid w:val="00A465F8"/>
    <w:rsid w:val="00A55306"/>
    <w:rsid w:val="00A642BA"/>
    <w:rsid w:val="00A77001"/>
    <w:rsid w:val="00A7734F"/>
    <w:rsid w:val="00A81A8A"/>
    <w:rsid w:val="00A859A0"/>
    <w:rsid w:val="00A97A5D"/>
    <w:rsid w:val="00AD6AC1"/>
    <w:rsid w:val="00AF065B"/>
    <w:rsid w:val="00B154F1"/>
    <w:rsid w:val="00B15C89"/>
    <w:rsid w:val="00B50CEF"/>
    <w:rsid w:val="00B62158"/>
    <w:rsid w:val="00B64B13"/>
    <w:rsid w:val="00B64B68"/>
    <w:rsid w:val="00B664C2"/>
    <w:rsid w:val="00B841E2"/>
    <w:rsid w:val="00B85B48"/>
    <w:rsid w:val="00B92598"/>
    <w:rsid w:val="00B96EFA"/>
    <w:rsid w:val="00BA00BE"/>
    <w:rsid w:val="00BB4F56"/>
    <w:rsid w:val="00BD51BF"/>
    <w:rsid w:val="00BE1C58"/>
    <w:rsid w:val="00BF1262"/>
    <w:rsid w:val="00BF3BE9"/>
    <w:rsid w:val="00C000C0"/>
    <w:rsid w:val="00C00476"/>
    <w:rsid w:val="00C145D2"/>
    <w:rsid w:val="00C15610"/>
    <w:rsid w:val="00C2163F"/>
    <w:rsid w:val="00C33F1D"/>
    <w:rsid w:val="00C51CAE"/>
    <w:rsid w:val="00C51D76"/>
    <w:rsid w:val="00CA38B6"/>
    <w:rsid w:val="00CC1B88"/>
    <w:rsid w:val="00CC594E"/>
    <w:rsid w:val="00CD35CB"/>
    <w:rsid w:val="00CF4261"/>
    <w:rsid w:val="00D25A21"/>
    <w:rsid w:val="00D512BF"/>
    <w:rsid w:val="00D62B7D"/>
    <w:rsid w:val="00DD186E"/>
    <w:rsid w:val="00DD604A"/>
    <w:rsid w:val="00DD6391"/>
    <w:rsid w:val="00E00F9C"/>
    <w:rsid w:val="00E2041B"/>
    <w:rsid w:val="00E21E8E"/>
    <w:rsid w:val="00E32667"/>
    <w:rsid w:val="00E363A2"/>
    <w:rsid w:val="00E51166"/>
    <w:rsid w:val="00E57F53"/>
    <w:rsid w:val="00EB3E36"/>
    <w:rsid w:val="00EB5D36"/>
    <w:rsid w:val="00EB631F"/>
    <w:rsid w:val="00ED02C4"/>
    <w:rsid w:val="00ED2FD0"/>
    <w:rsid w:val="00EE48BE"/>
    <w:rsid w:val="00EE5079"/>
    <w:rsid w:val="00F0054B"/>
    <w:rsid w:val="00F2278D"/>
    <w:rsid w:val="00F30893"/>
    <w:rsid w:val="00F3641D"/>
    <w:rsid w:val="00F44695"/>
    <w:rsid w:val="00F53149"/>
    <w:rsid w:val="00F64C21"/>
    <w:rsid w:val="00F70E56"/>
    <w:rsid w:val="00F74618"/>
    <w:rsid w:val="00F91EB2"/>
    <w:rsid w:val="00FB6866"/>
    <w:rsid w:val="00FB77A4"/>
    <w:rsid w:val="00FE7499"/>
    <w:rsid w:val="00FE757D"/>
    <w:rsid w:val="00FF78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AB"/>
    <w:rPr>
      <w:sz w:val="24"/>
      <w:szCs w:val="24"/>
      <w:lang w:val="en-GB" w:eastAsia="en-US"/>
    </w:rPr>
  </w:style>
  <w:style w:type="paragraph" w:styleId="Heading3">
    <w:name w:val="heading 3"/>
    <w:basedOn w:val="Normal"/>
    <w:link w:val="Heading3Char"/>
    <w:uiPriority w:val="9"/>
    <w:qFormat/>
    <w:rsid w:val="008D7875"/>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paragraph" w:styleId="FootnoteText">
    <w:name w:val="footnote text"/>
    <w:basedOn w:val="Normal"/>
    <w:link w:val="FootnoteTextChar"/>
    <w:semiHidden/>
    <w:rsid w:val="00F30893"/>
    <w:pPr>
      <w:jc w:val="both"/>
    </w:pPr>
    <w:rPr>
      <w:sz w:val="22"/>
      <w:szCs w:val="22"/>
      <w:lang w:eastAsia="en-GB"/>
    </w:rPr>
  </w:style>
  <w:style w:type="character" w:customStyle="1" w:styleId="FootnoteTextChar">
    <w:name w:val="Footnote Text Char"/>
    <w:link w:val="FootnoteText"/>
    <w:semiHidden/>
    <w:rsid w:val="00F30893"/>
    <w:rPr>
      <w:sz w:val="22"/>
      <w:szCs w:val="22"/>
      <w:lang w:val="en-GB" w:eastAsia="en-GB" w:bidi="ar-SA"/>
    </w:rPr>
  </w:style>
  <w:style w:type="character" w:styleId="FootnoteReference">
    <w:name w:val="footnote reference"/>
    <w:semiHidden/>
    <w:rsid w:val="00F30893"/>
    <w:rPr>
      <w:vertAlign w:val="superscript"/>
    </w:rPr>
  </w:style>
  <w:style w:type="paragraph" w:customStyle="1" w:styleId="CarCar1">
    <w:name w:val="Car Car1"/>
    <w:basedOn w:val="Normal"/>
    <w:rsid w:val="00F30893"/>
    <w:pPr>
      <w:jc w:val="both"/>
    </w:pPr>
    <w:rPr>
      <w:sz w:val="22"/>
      <w:szCs w:val="22"/>
      <w:lang w:val="en-US" w:eastAsia="pl-PL"/>
    </w:rPr>
  </w:style>
  <w:style w:type="character" w:styleId="Emphasis">
    <w:name w:val="Emphasis"/>
    <w:qFormat/>
    <w:rsid w:val="00274449"/>
    <w:rPr>
      <w:b/>
      <w:bCs/>
      <w:i w:val="0"/>
      <w:iCs w:val="0"/>
    </w:rPr>
  </w:style>
  <w:style w:type="character" w:styleId="Hyperlink">
    <w:name w:val="Hyperlink"/>
    <w:rsid w:val="00274449"/>
    <w:rPr>
      <w:color w:val="0000FF"/>
      <w:u w:val="single"/>
    </w:rPr>
  </w:style>
  <w:style w:type="paragraph" w:customStyle="1" w:styleId="Heading31">
    <w:name w:val="Heading 31"/>
    <w:basedOn w:val="Normal"/>
    <w:rsid w:val="00274449"/>
    <w:pPr>
      <w:outlineLvl w:val="3"/>
    </w:pPr>
    <w:rPr>
      <w:sz w:val="27"/>
      <w:szCs w:val="27"/>
      <w:lang w:val="en-US"/>
    </w:rPr>
  </w:style>
  <w:style w:type="character" w:styleId="Strong">
    <w:name w:val="Strong"/>
    <w:uiPriority w:val="22"/>
    <w:qFormat/>
    <w:rsid w:val="00274449"/>
    <w:rPr>
      <w:b/>
      <w:bCs/>
    </w:rPr>
  </w:style>
  <w:style w:type="paragraph" w:customStyle="1" w:styleId="Default">
    <w:name w:val="Default"/>
    <w:rsid w:val="00314197"/>
    <w:pPr>
      <w:autoSpaceDE w:val="0"/>
      <w:autoSpaceDN w:val="0"/>
      <w:adjustRightInd w:val="0"/>
      <w:jc w:val="both"/>
    </w:pPr>
    <w:rPr>
      <w:color w:val="000000"/>
      <w:sz w:val="24"/>
      <w:szCs w:val="24"/>
      <w:lang w:val="en-US" w:eastAsia="en-US"/>
    </w:rPr>
  </w:style>
  <w:style w:type="character" w:customStyle="1" w:styleId="Char1">
    <w:name w:val="Char1"/>
    <w:semiHidden/>
    <w:rsid w:val="00C51D76"/>
    <w:rPr>
      <w:sz w:val="22"/>
      <w:szCs w:val="22"/>
      <w:lang w:val="en-GB" w:eastAsia="en-GB" w:bidi="ar-SA"/>
    </w:rPr>
  </w:style>
  <w:style w:type="paragraph" w:styleId="BalloonText">
    <w:name w:val="Balloon Text"/>
    <w:basedOn w:val="Normal"/>
    <w:link w:val="BalloonTextChar"/>
    <w:uiPriority w:val="99"/>
    <w:semiHidden/>
    <w:unhideWhenUsed/>
    <w:rsid w:val="00E363A2"/>
    <w:rPr>
      <w:rFonts w:ascii="Tahoma" w:hAnsi="Tahoma"/>
      <w:sz w:val="16"/>
      <w:szCs w:val="16"/>
    </w:rPr>
  </w:style>
  <w:style w:type="character" w:customStyle="1" w:styleId="BalloonTextChar">
    <w:name w:val="Balloon Text Char"/>
    <w:link w:val="BalloonText"/>
    <w:uiPriority w:val="99"/>
    <w:semiHidden/>
    <w:rsid w:val="00E363A2"/>
    <w:rPr>
      <w:rFonts w:ascii="Tahoma" w:hAnsi="Tahoma" w:cs="Tahoma"/>
      <w:sz w:val="16"/>
      <w:szCs w:val="16"/>
      <w:lang w:val="en-GB"/>
    </w:rPr>
  </w:style>
  <w:style w:type="character" w:customStyle="1" w:styleId="Heading3Char">
    <w:name w:val="Heading 3 Char"/>
    <w:link w:val="Heading3"/>
    <w:uiPriority w:val="9"/>
    <w:rsid w:val="008D7875"/>
    <w:rPr>
      <w:sz w:val="30"/>
      <w:szCs w:val="30"/>
    </w:rPr>
  </w:style>
  <w:style w:type="character" w:styleId="CommentReference">
    <w:name w:val="annotation reference"/>
    <w:basedOn w:val="DefaultParagraphFont"/>
    <w:uiPriority w:val="99"/>
    <w:semiHidden/>
    <w:unhideWhenUsed/>
    <w:rsid w:val="00F70E56"/>
    <w:rPr>
      <w:sz w:val="16"/>
      <w:szCs w:val="16"/>
    </w:rPr>
  </w:style>
  <w:style w:type="paragraph" w:styleId="CommentText">
    <w:name w:val="annotation text"/>
    <w:basedOn w:val="Normal"/>
    <w:link w:val="CommentTextChar"/>
    <w:uiPriority w:val="99"/>
    <w:semiHidden/>
    <w:unhideWhenUsed/>
    <w:rsid w:val="00F70E56"/>
    <w:rPr>
      <w:sz w:val="20"/>
      <w:szCs w:val="20"/>
    </w:rPr>
  </w:style>
  <w:style w:type="character" w:customStyle="1" w:styleId="CommentTextChar">
    <w:name w:val="Comment Text Char"/>
    <w:basedOn w:val="DefaultParagraphFont"/>
    <w:link w:val="CommentText"/>
    <w:uiPriority w:val="99"/>
    <w:semiHidden/>
    <w:rsid w:val="00F70E56"/>
    <w:rPr>
      <w:lang w:val="en-GB" w:eastAsia="en-US"/>
    </w:rPr>
  </w:style>
  <w:style w:type="paragraph" w:styleId="CommentSubject">
    <w:name w:val="annotation subject"/>
    <w:basedOn w:val="CommentText"/>
    <w:next w:val="CommentText"/>
    <w:link w:val="CommentSubjectChar"/>
    <w:uiPriority w:val="99"/>
    <w:semiHidden/>
    <w:unhideWhenUsed/>
    <w:rsid w:val="00F70E56"/>
    <w:rPr>
      <w:b/>
      <w:bCs/>
    </w:rPr>
  </w:style>
  <w:style w:type="character" w:customStyle="1" w:styleId="CommentSubjectChar">
    <w:name w:val="Comment Subject Char"/>
    <w:basedOn w:val="CommentTextChar"/>
    <w:link w:val="CommentSubject"/>
    <w:uiPriority w:val="99"/>
    <w:semiHidden/>
    <w:rsid w:val="00F70E56"/>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AB"/>
    <w:rPr>
      <w:sz w:val="24"/>
      <w:szCs w:val="24"/>
      <w:lang w:val="en-GB" w:eastAsia="en-US"/>
    </w:rPr>
  </w:style>
  <w:style w:type="paragraph" w:styleId="Heading3">
    <w:name w:val="heading 3"/>
    <w:basedOn w:val="Normal"/>
    <w:link w:val="Heading3Char"/>
    <w:uiPriority w:val="9"/>
    <w:qFormat/>
    <w:rsid w:val="008D7875"/>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paragraph" w:styleId="FootnoteText">
    <w:name w:val="footnote text"/>
    <w:basedOn w:val="Normal"/>
    <w:link w:val="FootnoteTextChar"/>
    <w:semiHidden/>
    <w:rsid w:val="00F30893"/>
    <w:pPr>
      <w:jc w:val="both"/>
    </w:pPr>
    <w:rPr>
      <w:sz w:val="22"/>
      <w:szCs w:val="22"/>
      <w:lang w:eastAsia="en-GB"/>
    </w:rPr>
  </w:style>
  <w:style w:type="character" w:customStyle="1" w:styleId="FootnoteTextChar">
    <w:name w:val="Footnote Text Char"/>
    <w:link w:val="FootnoteText"/>
    <w:semiHidden/>
    <w:rsid w:val="00F30893"/>
    <w:rPr>
      <w:sz w:val="22"/>
      <w:szCs w:val="22"/>
      <w:lang w:val="en-GB" w:eastAsia="en-GB" w:bidi="ar-SA"/>
    </w:rPr>
  </w:style>
  <w:style w:type="character" w:styleId="FootnoteReference">
    <w:name w:val="footnote reference"/>
    <w:semiHidden/>
    <w:rsid w:val="00F30893"/>
    <w:rPr>
      <w:vertAlign w:val="superscript"/>
    </w:rPr>
  </w:style>
  <w:style w:type="paragraph" w:customStyle="1" w:styleId="CarCar1">
    <w:name w:val="Car Car1"/>
    <w:basedOn w:val="Normal"/>
    <w:rsid w:val="00F30893"/>
    <w:pPr>
      <w:jc w:val="both"/>
    </w:pPr>
    <w:rPr>
      <w:sz w:val="22"/>
      <w:szCs w:val="22"/>
      <w:lang w:val="en-US" w:eastAsia="pl-PL"/>
    </w:rPr>
  </w:style>
  <w:style w:type="character" w:styleId="Emphasis">
    <w:name w:val="Emphasis"/>
    <w:qFormat/>
    <w:rsid w:val="00274449"/>
    <w:rPr>
      <w:b/>
      <w:bCs/>
      <w:i w:val="0"/>
      <w:iCs w:val="0"/>
    </w:rPr>
  </w:style>
  <w:style w:type="character" w:styleId="Hyperlink">
    <w:name w:val="Hyperlink"/>
    <w:rsid w:val="00274449"/>
    <w:rPr>
      <w:color w:val="0000FF"/>
      <w:u w:val="single"/>
    </w:rPr>
  </w:style>
  <w:style w:type="paragraph" w:customStyle="1" w:styleId="Heading31">
    <w:name w:val="Heading 31"/>
    <w:basedOn w:val="Normal"/>
    <w:rsid w:val="00274449"/>
    <w:pPr>
      <w:outlineLvl w:val="3"/>
    </w:pPr>
    <w:rPr>
      <w:sz w:val="27"/>
      <w:szCs w:val="27"/>
      <w:lang w:val="en-US"/>
    </w:rPr>
  </w:style>
  <w:style w:type="character" w:styleId="Strong">
    <w:name w:val="Strong"/>
    <w:uiPriority w:val="22"/>
    <w:qFormat/>
    <w:rsid w:val="00274449"/>
    <w:rPr>
      <w:b/>
      <w:bCs/>
    </w:rPr>
  </w:style>
  <w:style w:type="paragraph" w:customStyle="1" w:styleId="Default">
    <w:name w:val="Default"/>
    <w:rsid w:val="00314197"/>
    <w:pPr>
      <w:autoSpaceDE w:val="0"/>
      <w:autoSpaceDN w:val="0"/>
      <w:adjustRightInd w:val="0"/>
      <w:jc w:val="both"/>
    </w:pPr>
    <w:rPr>
      <w:color w:val="000000"/>
      <w:sz w:val="24"/>
      <w:szCs w:val="24"/>
      <w:lang w:val="en-US" w:eastAsia="en-US"/>
    </w:rPr>
  </w:style>
  <w:style w:type="character" w:customStyle="1" w:styleId="Char1">
    <w:name w:val="Char1"/>
    <w:semiHidden/>
    <w:rsid w:val="00C51D76"/>
    <w:rPr>
      <w:sz w:val="22"/>
      <w:szCs w:val="22"/>
      <w:lang w:val="en-GB" w:eastAsia="en-GB" w:bidi="ar-SA"/>
    </w:rPr>
  </w:style>
  <w:style w:type="paragraph" w:styleId="BalloonText">
    <w:name w:val="Balloon Text"/>
    <w:basedOn w:val="Normal"/>
    <w:link w:val="BalloonTextChar"/>
    <w:uiPriority w:val="99"/>
    <w:semiHidden/>
    <w:unhideWhenUsed/>
    <w:rsid w:val="00E363A2"/>
    <w:rPr>
      <w:rFonts w:ascii="Tahoma" w:hAnsi="Tahoma"/>
      <w:sz w:val="16"/>
      <w:szCs w:val="16"/>
    </w:rPr>
  </w:style>
  <w:style w:type="character" w:customStyle="1" w:styleId="BalloonTextChar">
    <w:name w:val="Balloon Text Char"/>
    <w:link w:val="BalloonText"/>
    <w:uiPriority w:val="99"/>
    <w:semiHidden/>
    <w:rsid w:val="00E363A2"/>
    <w:rPr>
      <w:rFonts w:ascii="Tahoma" w:hAnsi="Tahoma" w:cs="Tahoma"/>
      <w:sz w:val="16"/>
      <w:szCs w:val="16"/>
      <w:lang w:val="en-GB"/>
    </w:rPr>
  </w:style>
  <w:style w:type="character" w:customStyle="1" w:styleId="Heading3Char">
    <w:name w:val="Heading 3 Char"/>
    <w:link w:val="Heading3"/>
    <w:uiPriority w:val="9"/>
    <w:rsid w:val="008D7875"/>
    <w:rPr>
      <w:sz w:val="30"/>
      <w:szCs w:val="30"/>
    </w:rPr>
  </w:style>
  <w:style w:type="character" w:styleId="CommentReference">
    <w:name w:val="annotation reference"/>
    <w:basedOn w:val="DefaultParagraphFont"/>
    <w:uiPriority w:val="99"/>
    <w:semiHidden/>
    <w:unhideWhenUsed/>
    <w:rsid w:val="00F70E56"/>
    <w:rPr>
      <w:sz w:val="16"/>
      <w:szCs w:val="16"/>
    </w:rPr>
  </w:style>
  <w:style w:type="paragraph" w:styleId="CommentText">
    <w:name w:val="annotation text"/>
    <w:basedOn w:val="Normal"/>
    <w:link w:val="CommentTextChar"/>
    <w:uiPriority w:val="99"/>
    <w:semiHidden/>
    <w:unhideWhenUsed/>
    <w:rsid w:val="00F70E56"/>
    <w:rPr>
      <w:sz w:val="20"/>
      <w:szCs w:val="20"/>
    </w:rPr>
  </w:style>
  <w:style w:type="character" w:customStyle="1" w:styleId="CommentTextChar">
    <w:name w:val="Comment Text Char"/>
    <w:basedOn w:val="DefaultParagraphFont"/>
    <w:link w:val="CommentText"/>
    <w:uiPriority w:val="99"/>
    <w:semiHidden/>
    <w:rsid w:val="00F70E56"/>
    <w:rPr>
      <w:lang w:val="en-GB" w:eastAsia="en-US"/>
    </w:rPr>
  </w:style>
  <w:style w:type="paragraph" w:styleId="CommentSubject">
    <w:name w:val="annotation subject"/>
    <w:basedOn w:val="CommentText"/>
    <w:next w:val="CommentText"/>
    <w:link w:val="CommentSubjectChar"/>
    <w:uiPriority w:val="99"/>
    <w:semiHidden/>
    <w:unhideWhenUsed/>
    <w:rsid w:val="00F70E56"/>
    <w:rPr>
      <w:b/>
      <w:bCs/>
    </w:rPr>
  </w:style>
  <w:style w:type="character" w:customStyle="1" w:styleId="CommentSubjectChar">
    <w:name w:val="Comment Subject Char"/>
    <w:basedOn w:val="CommentTextChar"/>
    <w:link w:val="CommentSubject"/>
    <w:uiPriority w:val="99"/>
    <w:semiHidden/>
    <w:rsid w:val="00F70E5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862774">
      <w:bodyDiv w:val="1"/>
      <w:marLeft w:val="0"/>
      <w:marRight w:val="0"/>
      <w:marTop w:val="0"/>
      <w:marBottom w:val="0"/>
      <w:divBdr>
        <w:top w:val="none" w:sz="0" w:space="0" w:color="auto"/>
        <w:left w:val="none" w:sz="0" w:space="0" w:color="auto"/>
        <w:bottom w:val="none" w:sz="0" w:space="0" w:color="auto"/>
        <w:right w:val="none" w:sz="0" w:space="0" w:color="auto"/>
      </w:divBdr>
    </w:div>
    <w:div w:id="2144425376">
      <w:bodyDiv w:val="1"/>
      <w:marLeft w:val="0"/>
      <w:marRight w:val="0"/>
      <w:marTop w:val="0"/>
      <w:marBottom w:val="0"/>
      <w:divBdr>
        <w:top w:val="none" w:sz="0" w:space="0" w:color="auto"/>
        <w:left w:val="none" w:sz="0" w:space="0" w:color="auto"/>
        <w:bottom w:val="none" w:sz="0" w:space="0" w:color="auto"/>
        <w:right w:val="none" w:sz="0" w:space="0" w:color="auto"/>
      </w:divBdr>
      <w:divsChild>
        <w:div w:id="886526768">
          <w:marLeft w:val="0"/>
          <w:marRight w:val="0"/>
          <w:marTop w:val="0"/>
          <w:marBottom w:val="0"/>
          <w:divBdr>
            <w:top w:val="none" w:sz="0" w:space="0" w:color="auto"/>
            <w:left w:val="none" w:sz="0" w:space="0" w:color="auto"/>
            <w:bottom w:val="none" w:sz="0" w:space="0" w:color="auto"/>
            <w:right w:val="none" w:sz="0" w:space="0" w:color="auto"/>
          </w:divBdr>
          <w:divsChild>
            <w:div w:id="1559394654">
              <w:marLeft w:val="0"/>
              <w:marRight w:val="0"/>
              <w:marTop w:val="0"/>
              <w:marBottom w:val="0"/>
              <w:divBdr>
                <w:top w:val="none" w:sz="0" w:space="0" w:color="auto"/>
                <w:left w:val="none" w:sz="0" w:space="0" w:color="auto"/>
                <w:bottom w:val="none" w:sz="0" w:space="0" w:color="auto"/>
                <w:right w:val="none" w:sz="0" w:space="0" w:color="auto"/>
              </w:divBdr>
              <w:divsChild>
                <w:div w:id="1607811276">
                  <w:marLeft w:val="0"/>
                  <w:marRight w:val="0"/>
                  <w:marTop w:val="0"/>
                  <w:marBottom w:val="0"/>
                  <w:divBdr>
                    <w:top w:val="none" w:sz="0" w:space="0" w:color="auto"/>
                    <w:left w:val="none" w:sz="0" w:space="0" w:color="auto"/>
                    <w:bottom w:val="none" w:sz="0" w:space="0" w:color="auto"/>
                    <w:right w:val="none" w:sz="0" w:space="0" w:color="auto"/>
                  </w:divBdr>
                  <w:divsChild>
                    <w:div w:id="761804372">
                      <w:marLeft w:val="0"/>
                      <w:marRight w:val="0"/>
                      <w:marTop w:val="0"/>
                      <w:marBottom w:val="0"/>
                      <w:divBdr>
                        <w:top w:val="none" w:sz="0" w:space="0" w:color="auto"/>
                        <w:left w:val="none" w:sz="0" w:space="0" w:color="auto"/>
                        <w:bottom w:val="none" w:sz="0" w:space="0" w:color="auto"/>
                        <w:right w:val="none" w:sz="0" w:space="0" w:color="auto"/>
                      </w:divBdr>
                      <w:divsChild>
                        <w:div w:id="1350645048">
                          <w:marLeft w:val="0"/>
                          <w:marRight w:val="0"/>
                          <w:marTop w:val="0"/>
                          <w:marBottom w:val="0"/>
                          <w:divBdr>
                            <w:top w:val="none" w:sz="0" w:space="0" w:color="auto"/>
                            <w:left w:val="none" w:sz="0" w:space="0" w:color="auto"/>
                            <w:bottom w:val="none" w:sz="0" w:space="0" w:color="auto"/>
                            <w:right w:val="none" w:sz="0" w:space="0" w:color="auto"/>
                          </w:divBdr>
                          <w:divsChild>
                            <w:div w:id="1839416881">
                              <w:marLeft w:val="-225"/>
                              <w:marRight w:val="0"/>
                              <w:marTop w:val="0"/>
                              <w:marBottom w:val="0"/>
                              <w:divBdr>
                                <w:top w:val="none" w:sz="0" w:space="0" w:color="auto"/>
                                <w:left w:val="none" w:sz="0" w:space="0" w:color="auto"/>
                                <w:bottom w:val="none" w:sz="0" w:space="0" w:color="auto"/>
                                <w:right w:val="none" w:sz="0" w:space="0" w:color="auto"/>
                              </w:divBdr>
                              <w:divsChild>
                                <w:div w:id="1858078797">
                                  <w:marLeft w:val="0"/>
                                  <w:marRight w:val="0"/>
                                  <w:marTop w:val="0"/>
                                  <w:marBottom w:val="0"/>
                                  <w:divBdr>
                                    <w:top w:val="none" w:sz="0" w:space="0" w:color="auto"/>
                                    <w:left w:val="none" w:sz="0" w:space="0" w:color="auto"/>
                                    <w:bottom w:val="none" w:sz="0" w:space="0" w:color="auto"/>
                                    <w:right w:val="none" w:sz="0" w:space="0" w:color="auto"/>
                                  </w:divBdr>
                                  <w:divsChild>
                                    <w:div w:id="978345613">
                                      <w:marLeft w:val="0"/>
                                      <w:marRight w:val="0"/>
                                      <w:marTop w:val="0"/>
                                      <w:marBottom w:val="0"/>
                                      <w:divBdr>
                                        <w:top w:val="none" w:sz="0" w:space="0" w:color="auto"/>
                                        <w:left w:val="none" w:sz="0" w:space="0" w:color="auto"/>
                                        <w:bottom w:val="none" w:sz="0" w:space="0" w:color="auto"/>
                                        <w:right w:val="none" w:sz="0" w:space="0" w:color="auto"/>
                                      </w:divBdr>
                                      <w:divsChild>
                                        <w:div w:id="277222856">
                                          <w:marLeft w:val="0"/>
                                          <w:marRight w:val="0"/>
                                          <w:marTop w:val="0"/>
                                          <w:marBottom w:val="0"/>
                                          <w:divBdr>
                                            <w:top w:val="none" w:sz="0" w:space="0" w:color="auto"/>
                                            <w:left w:val="none" w:sz="0" w:space="0" w:color="auto"/>
                                            <w:bottom w:val="none" w:sz="0" w:space="0" w:color="auto"/>
                                            <w:right w:val="none" w:sz="0" w:space="0" w:color="auto"/>
                                          </w:divBdr>
                                          <w:divsChild>
                                            <w:div w:id="747926700">
                                              <w:marLeft w:val="0"/>
                                              <w:marRight w:val="0"/>
                                              <w:marTop w:val="0"/>
                                              <w:marBottom w:val="0"/>
                                              <w:divBdr>
                                                <w:top w:val="none" w:sz="0" w:space="0" w:color="auto"/>
                                                <w:left w:val="none" w:sz="0" w:space="0" w:color="auto"/>
                                                <w:bottom w:val="none" w:sz="0" w:space="0" w:color="auto"/>
                                                <w:right w:val="none" w:sz="0" w:space="0" w:color="auto"/>
                                              </w:divBdr>
                                              <w:divsChild>
                                                <w:div w:id="2052336828">
                                                  <w:marLeft w:val="0"/>
                                                  <w:marRight w:val="0"/>
                                                  <w:marTop w:val="0"/>
                                                  <w:marBottom w:val="0"/>
                                                  <w:divBdr>
                                                    <w:top w:val="none" w:sz="0" w:space="0" w:color="auto"/>
                                                    <w:left w:val="none" w:sz="0" w:space="0" w:color="auto"/>
                                                    <w:bottom w:val="none" w:sz="0" w:space="0" w:color="auto"/>
                                                    <w:right w:val="none" w:sz="0" w:space="0" w:color="auto"/>
                                                  </w:divBdr>
                                                  <w:divsChild>
                                                    <w:div w:id="8776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7581</Characters>
  <Application>Microsoft Office Word</Application>
  <DocSecurity>0</DocSecurity>
  <Lines>63</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European Inland Fisheries and Aquaculture Advisory Commission (EIFAAC)</vt:lpstr>
      <vt:lpstr>European Inland Fisheries and Aquaculture Advisory Commission (EIFAAC)</vt:lpstr>
    </vt:vector>
  </TitlesOfParts>
  <Company>FAO of the UN</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Inland Fisheries and Aquaculture Advisory Commission (EIFAAC)</dc:title>
  <dc:creator>Marmulla, Gerd (FIRF)</dc:creator>
  <cp:lastModifiedBy>Vehanen Teppo</cp:lastModifiedBy>
  <cp:revision>2</cp:revision>
  <cp:lastPrinted>2012-12-19T12:17:00Z</cp:lastPrinted>
  <dcterms:created xsi:type="dcterms:W3CDTF">2018-02-14T09:50:00Z</dcterms:created>
  <dcterms:modified xsi:type="dcterms:W3CDTF">2018-02-14T09:50:00Z</dcterms:modified>
</cp:coreProperties>
</file>